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E80F18">
      <w:pPr>
        <w:jc w:val="center"/>
        <w:rPr>
          <w:rFonts w:hint="eastAsia" w:ascii="仿宋" w:hAnsi="仿宋" w:eastAsia="仿宋" w:cs="仿宋"/>
          <w:sz w:val="44"/>
          <w:szCs w:val="44"/>
          <w:lang w:eastAsia="zh-CN"/>
        </w:rPr>
      </w:pPr>
      <w:r>
        <w:rPr>
          <w:rFonts w:hint="eastAsia" w:ascii="仿宋" w:hAnsi="仿宋" w:eastAsia="仿宋" w:cs="仿宋"/>
          <w:sz w:val="44"/>
          <w:szCs w:val="44"/>
          <w:lang w:eastAsia="zh-CN"/>
        </w:rPr>
        <w:t>确山县清源污水处理有限公司</w:t>
      </w:r>
    </w:p>
    <w:p w14:paraId="2A361389">
      <w:pPr>
        <w:jc w:val="center"/>
        <w:rPr>
          <w:rFonts w:hint="eastAsia" w:ascii="仿宋" w:hAnsi="仿宋" w:eastAsia="仿宋" w:cs="仿宋"/>
          <w:sz w:val="44"/>
          <w:szCs w:val="44"/>
          <w:lang w:eastAsia="zh-CN"/>
        </w:rPr>
      </w:pPr>
      <w:r>
        <w:rPr>
          <w:rFonts w:hint="eastAsia" w:ascii="仿宋" w:hAnsi="仿宋" w:eastAsia="仿宋" w:cs="仿宋"/>
          <w:sz w:val="44"/>
          <w:szCs w:val="44"/>
          <w:lang w:eastAsia="zh-CN"/>
        </w:rPr>
        <w:t>信息公开表</w:t>
      </w:r>
    </w:p>
    <w:p w14:paraId="7CD800F2">
      <w:pPr>
        <w:pStyle w:val="9"/>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一、基础信息</w:t>
      </w:r>
    </w:p>
    <w:p w14:paraId="3512A519">
      <w:pPr>
        <w:pStyle w:val="9"/>
        <w:numPr>
          <w:ilvl w:val="0"/>
          <w:numId w:val="0"/>
        </w:numPr>
        <w:spacing w:line="360" w:lineRule="auto"/>
        <w:rPr>
          <w:rFonts w:hint="eastAsia" w:ascii="仿宋" w:hAnsi="仿宋" w:eastAsia="仿宋" w:cs="仿宋"/>
          <w:sz w:val="32"/>
          <w:szCs w:val="32"/>
          <w:lang w:eastAsia="zh-CN"/>
        </w:rPr>
      </w:pPr>
      <w:r>
        <w:rPr>
          <w:rFonts w:hint="eastAsia" w:ascii="仿宋" w:hAnsi="仿宋" w:eastAsia="仿宋" w:cs="仿宋"/>
          <w:sz w:val="32"/>
          <w:szCs w:val="32"/>
          <w:lang w:eastAsia="zh-CN"/>
        </w:rPr>
        <w:t>单位名称：确山县清源污水处理有限公司。</w:t>
      </w:r>
    </w:p>
    <w:p w14:paraId="030571A4">
      <w:pPr>
        <w:pStyle w:val="9"/>
        <w:numPr>
          <w:ilvl w:val="0"/>
          <w:numId w:val="0"/>
        </w:numPr>
        <w:spacing w:line="360" w:lineRule="auto"/>
        <w:rPr>
          <w:rFonts w:hint="default" w:ascii="仿宋" w:hAnsi="仿宋" w:eastAsia="仿宋" w:cs="仿宋"/>
          <w:sz w:val="32"/>
          <w:szCs w:val="32"/>
          <w:lang w:val="en-US" w:eastAsia="zh-CN"/>
        </w:rPr>
      </w:pPr>
      <w:r>
        <w:rPr>
          <w:rFonts w:hint="eastAsia" w:ascii="仿宋" w:hAnsi="仿宋" w:eastAsia="仿宋" w:cs="仿宋"/>
          <w:sz w:val="32"/>
          <w:szCs w:val="32"/>
          <w:lang w:eastAsia="zh-CN"/>
        </w:rPr>
        <w:t>污水厂名称：</w:t>
      </w:r>
      <w:r>
        <w:rPr>
          <w:rFonts w:hint="eastAsia" w:ascii="仿宋" w:hAnsi="仿宋" w:eastAsia="仿宋" w:cs="仿宋"/>
          <w:sz w:val="32"/>
          <w:szCs w:val="32"/>
          <w:lang w:val="en-US" w:eastAsia="zh-CN"/>
        </w:rPr>
        <w:t>确山县清源污水处理有限公司</w:t>
      </w:r>
    </w:p>
    <w:p w14:paraId="14D78435">
      <w:pPr>
        <w:pStyle w:val="9"/>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组织机构代码：MA9M47CX0。</w:t>
      </w:r>
    </w:p>
    <w:p w14:paraId="3B2257EA">
      <w:pPr>
        <w:pStyle w:val="9"/>
        <w:numPr>
          <w:ilvl w:val="0"/>
          <w:numId w:val="0"/>
        </w:numPr>
        <w:spacing w:line="360" w:lineRule="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统一社会信用代码：91411725MA9M47CX0Y</w:t>
      </w:r>
    </w:p>
    <w:p w14:paraId="066D003D">
      <w:pPr>
        <w:pStyle w:val="9"/>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法定代表人：王东升。</w:t>
      </w:r>
    </w:p>
    <w:p w14:paraId="3FF04E68">
      <w:pPr>
        <w:pStyle w:val="9"/>
        <w:numPr>
          <w:ilvl w:val="0"/>
          <w:numId w:val="0"/>
        </w:numPr>
        <w:spacing w:line="360" w:lineRule="auto"/>
        <w:rPr>
          <w:rFonts w:hint="eastAsia" w:ascii="仿宋" w:hAnsi="仿宋" w:eastAsia="仿宋" w:cs="仿宋"/>
          <w:sz w:val="32"/>
          <w:szCs w:val="32"/>
          <w:lang w:eastAsia="zh-CN"/>
        </w:rPr>
      </w:pPr>
      <w:r>
        <w:rPr>
          <w:rFonts w:hint="eastAsia" w:ascii="仿宋" w:hAnsi="仿宋" w:eastAsia="仿宋" w:cs="仿宋"/>
          <w:sz w:val="32"/>
          <w:szCs w:val="32"/>
          <w:lang w:eastAsia="zh-CN"/>
        </w:rPr>
        <w:t>生产地址：确山县朗陵街道赵庄村。</w:t>
      </w:r>
    </w:p>
    <w:p w14:paraId="0A758AF3">
      <w:pPr>
        <w:pStyle w:val="9"/>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联系方式：</w:t>
      </w:r>
      <w:r>
        <w:rPr>
          <w:rFonts w:hint="eastAsia" w:ascii="仿宋" w:hAnsi="仿宋" w:eastAsia="仿宋" w:cs="仿宋"/>
          <w:sz w:val="32"/>
          <w:szCs w:val="32"/>
          <w:lang w:val="en-US" w:eastAsia="zh-CN"/>
        </w:rPr>
        <w:t>13839697281。</w:t>
      </w:r>
    </w:p>
    <w:p w14:paraId="4844EB5F">
      <w:pPr>
        <w:pStyle w:val="9"/>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生产内容：污水处理及其再生利用，有机肥料及微生物肥料制造。</w:t>
      </w:r>
      <w:r>
        <w:rPr>
          <w:rFonts w:hint="eastAsia" w:ascii="仿宋" w:hAnsi="仿宋" w:eastAsia="仿宋" w:cs="仿宋"/>
          <w:sz w:val="32"/>
          <w:szCs w:val="32"/>
        </w:rPr>
        <w:t>设计处理规模</w:t>
      </w:r>
      <w:r>
        <w:rPr>
          <w:rFonts w:hint="eastAsia" w:ascii="仿宋" w:hAnsi="仿宋" w:eastAsia="仿宋" w:cs="仿宋"/>
          <w:sz w:val="32"/>
          <w:szCs w:val="32"/>
          <w:lang w:val="en-US" w:eastAsia="zh-CN"/>
        </w:rPr>
        <w:t>6</w:t>
      </w:r>
      <w:r>
        <w:rPr>
          <w:rFonts w:hint="eastAsia" w:ascii="仿宋" w:hAnsi="仿宋" w:eastAsia="仿宋" w:cs="仿宋"/>
          <w:sz w:val="32"/>
          <w:szCs w:val="32"/>
        </w:rPr>
        <w:t>万吨/日</w:t>
      </w:r>
      <w:r>
        <w:rPr>
          <w:rFonts w:hint="eastAsia" w:ascii="仿宋" w:hAnsi="仿宋" w:eastAsia="仿宋" w:cs="仿宋"/>
          <w:sz w:val="32"/>
          <w:szCs w:val="32"/>
          <w:lang w:eastAsia="zh-CN"/>
        </w:rPr>
        <w:t>。</w:t>
      </w:r>
    </w:p>
    <w:p w14:paraId="6F819AB1">
      <w:pPr>
        <w:pStyle w:val="9"/>
        <w:numPr>
          <w:ilvl w:val="0"/>
          <w:numId w:val="1"/>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排污信息</w:t>
      </w:r>
    </w:p>
    <w:p w14:paraId="6429C4A3">
      <w:pPr>
        <w:pStyle w:val="9"/>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主要污染物：COD、氨氮、总磷、总氮。</w:t>
      </w:r>
    </w:p>
    <w:p w14:paraId="3CB5D807">
      <w:pPr>
        <w:pStyle w:val="9"/>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排放方式：连续直排。</w:t>
      </w:r>
    </w:p>
    <w:p w14:paraId="378D82D9">
      <w:pPr>
        <w:pStyle w:val="9"/>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排放口数量：一个，位于厂区南侧。</w:t>
      </w:r>
    </w:p>
    <w:p w14:paraId="377E08FC">
      <w:pPr>
        <w:pStyle w:val="9"/>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2024年废水排放量：1387.51万吨，</w:t>
      </w:r>
    </w:p>
    <w:p w14:paraId="529F33EC">
      <w:pPr>
        <w:pStyle w:val="9"/>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COD年平均出水浓度：17.978mg/L，排放量249.44吨；</w:t>
      </w:r>
    </w:p>
    <w:p w14:paraId="2D976C55">
      <w:pPr>
        <w:pStyle w:val="9"/>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氨氮年平均出水浓度：0.139mg/L，排放量：1.92吨；</w:t>
      </w:r>
    </w:p>
    <w:p w14:paraId="6E68F92A">
      <w:pPr>
        <w:pStyle w:val="9"/>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总磷年平均出水浓度：0.128mg/L，排放量：1.77吨；</w:t>
      </w:r>
    </w:p>
    <w:p w14:paraId="67A7AB5E">
      <w:pPr>
        <w:pStyle w:val="9"/>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总氮年平均出水浓度：5.805mg/L，排放量：80.54吨。</w:t>
      </w:r>
    </w:p>
    <w:p w14:paraId="33CA5BCC">
      <w:pPr>
        <w:pStyle w:val="9"/>
        <w:numPr>
          <w:ilvl w:val="0"/>
          <w:numId w:val="0"/>
        </w:numPr>
        <w:spacing w:line="360" w:lineRule="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污染物排放标准：城镇污水处理厂污染物排放标准GB 18913-2002。《洪河流域水污染物排放标准》（DB 41/1257-2016）</w:t>
      </w:r>
    </w:p>
    <w:p w14:paraId="149397E9">
      <w:pPr>
        <w:pStyle w:val="9"/>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许可年排放量限值：COD：657吨，氨氮：32.85吨，总氮：219吨，总磷：6.57吨。</w:t>
      </w:r>
    </w:p>
    <w:p w14:paraId="33A6403C">
      <w:pPr>
        <w:pStyle w:val="9"/>
        <w:numPr>
          <w:ilvl w:val="0"/>
          <w:numId w:val="1"/>
        </w:numPr>
        <w:spacing w:line="360" w:lineRule="auto"/>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防治污染设施的建设和运行情况</w:t>
      </w:r>
    </w:p>
    <w:p w14:paraId="6FB70EB7">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我厂根据环评报告及批复要求，污水处理</w:t>
      </w:r>
      <w:r>
        <w:rPr>
          <w:rFonts w:hint="eastAsia" w:ascii="仿宋" w:hAnsi="仿宋" w:eastAsia="仿宋" w:cs="仿宋"/>
          <w:sz w:val="32"/>
          <w:szCs w:val="32"/>
          <w:lang w:eastAsia="zh-CN"/>
        </w:rPr>
        <w:t>采用</w:t>
      </w:r>
      <w:r>
        <w:rPr>
          <w:rFonts w:hint="eastAsia" w:ascii="仿宋" w:hAnsi="仿宋" w:eastAsia="仿宋" w:cs="仿宋"/>
          <w:sz w:val="32"/>
          <w:szCs w:val="32"/>
          <w:lang w:val="en-US" w:eastAsia="zh-CN"/>
        </w:rPr>
        <w:t>预处理+</w:t>
      </w:r>
      <w:r>
        <w:rPr>
          <w:rFonts w:hint="eastAsia" w:ascii="仿宋" w:hAnsi="仿宋" w:eastAsia="仿宋" w:cs="仿宋"/>
          <w:sz w:val="32"/>
          <w:szCs w:val="32"/>
          <w:lang w:eastAsia="zh-CN"/>
        </w:rPr>
        <w:t>二级生化处理</w:t>
      </w:r>
      <w:r>
        <w:rPr>
          <w:rFonts w:hint="eastAsia" w:ascii="仿宋" w:hAnsi="仿宋" w:eastAsia="仿宋" w:cs="仿宋"/>
          <w:sz w:val="32"/>
          <w:szCs w:val="32"/>
          <w:lang w:val="en-US" w:eastAsia="zh-CN"/>
        </w:rPr>
        <w:t>+三级深度处理工艺，处理后的达标废水直接排入至三里河，自投产以来运行正常。</w:t>
      </w:r>
    </w:p>
    <w:p w14:paraId="75A54B2D">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我厂建立了危险废物贮存场所，严格按照要求落实各项防渗、防雨、防漏要求，危险废物委托有资质的单位进行安全处置。</w:t>
      </w:r>
    </w:p>
    <w:p w14:paraId="05C72FC5">
      <w:pPr>
        <w:pStyle w:val="9"/>
        <w:numPr>
          <w:ilvl w:val="0"/>
          <w:numId w:val="0"/>
        </w:numPr>
        <w:spacing w:line="360" w:lineRule="auto"/>
        <w:ind w:leftChars="0"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2024年确山县污水厂和确山县产业集聚区污水厂合并成立为确山县清源污水处理有限公司，厂区共有两个进水口，一个排水口。</w:t>
      </w:r>
    </w:p>
    <w:p w14:paraId="4EEE44E2">
      <w:pPr>
        <w:pStyle w:val="9"/>
        <w:numPr>
          <w:ilvl w:val="0"/>
          <w:numId w:val="1"/>
        </w:numPr>
        <w:spacing w:line="360" w:lineRule="auto"/>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建设项目环境影响评价及其他环境保护行政许可情况</w:t>
      </w:r>
    </w:p>
    <w:p w14:paraId="21575E55">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2004年12月10日批复确山县城污水处理工程豫环监表【2004】195号，</w:t>
      </w:r>
    </w:p>
    <w:p w14:paraId="7BEBE301">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2012年3月8日批复确山县污水处理厂改扩建工程驻环评表【2012】3号；</w:t>
      </w:r>
    </w:p>
    <w:p w14:paraId="158924AA">
      <w:pPr>
        <w:pStyle w:val="5"/>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2014年9月22日批复</w:t>
      </w:r>
      <w:r>
        <w:rPr>
          <w:rFonts w:hint="eastAsia" w:ascii="仿宋" w:hAnsi="仿宋" w:eastAsia="仿宋" w:cs="仿宋"/>
          <w:sz w:val="32"/>
          <w:szCs w:val="32"/>
          <w:lang w:eastAsia="zh-CN"/>
        </w:rPr>
        <w:t>确山县产业集聚区污水处理厂工程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豫环审【</w:t>
      </w:r>
      <w:r>
        <w:rPr>
          <w:rFonts w:hint="eastAsia" w:ascii="仿宋" w:hAnsi="仿宋" w:eastAsia="仿宋" w:cs="仿宋"/>
          <w:sz w:val="32"/>
          <w:szCs w:val="32"/>
          <w:lang w:val="en-US" w:eastAsia="zh-CN"/>
        </w:rPr>
        <w:t>2014</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361号</w:t>
      </w:r>
    </w:p>
    <w:p w14:paraId="238F7BCB">
      <w:pPr>
        <w:keepNext w:val="0"/>
        <w:keepLines w:val="0"/>
        <w:pageBreakBefore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环保验收手续名称和文号</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确山县产业集聚区污水处理厂项目竣工环境保护验收监测报告表。</w:t>
      </w:r>
    </w:p>
    <w:p w14:paraId="45491A66">
      <w:pPr>
        <w:pStyle w:val="5"/>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2019年9月19日批复确山县清源污水处理有限公司升级改造工程 确环评表</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2019</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54号</w:t>
      </w:r>
      <w:bookmarkStart w:id="0" w:name="_GoBack"/>
      <w:bookmarkEnd w:id="0"/>
    </w:p>
    <w:p w14:paraId="6C26DC67">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2022年6月21日取得排污许可证 证件号：91411725MA9M47CX0Y002V。</w:t>
      </w:r>
    </w:p>
    <w:p w14:paraId="1E998E6C">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p>
    <w:p w14:paraId="55B2E1F6">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p>
    <w:p w14:paraId="689FE570">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p>
    <w:p w14:paraId="64AAB5D2">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p>
    <w:p w14:paraId="53308623">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p>
    <w:p w14:paraId="4718134C">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p>
    <w:p w14:paraId="341B94CF">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p>
    <w:p w14:paraId="2FC28F2F">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p>
    <w:p w14:paraId="49F907FE">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p>
    <w:p w14:paraId="26FE18E2">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p>
    <w:p w14:paraId="03934959">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p>
    <w:p w14:paraId="774FBC64">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p>
    <w:p w14:paraId="492B7E8E">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p>
    <w:p w14:paraId="1BA94074">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p>
    <w:p w14:paraId="27268191">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p>
    <w:p w14:paraId="6A7A8E1E">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p>
    <w:p w14:paraId="6E0BC21B">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p>
    <w:p w14:paraId="5B0776B4">
      <w:pPr>
        <w:pStyle w:val="9"/>
        <w:numPr>
          <w:ilvl w:val="0"/>
          <w:numId w:val="0"/>
        </w:numPr>
        <w:spacing w:line="360" w:lineRule="auto"/>
        <w:rPr>
          <w:rFonts w:hint="eastAsia" w:ascii="仿宋" w:hAnsi="仿宋" w:eastAsia="仿宋" w:cs="仿宋"/>
          <w:sz w:val="32"/>
          <w:szCs w:val="32"/>
          <w:lang w:val="en-US" w:eastAsia="zh-CN"/>
        </w:rPr>
      </w:pPr>
    </w:p>
    <w:p w14:paraId="16BCD1F7">
      <w:pPr>
        <w:pStyle w:val="9"/>
        <w:numPr>
          <w:ilvl w:val="0"/>
          <w:numId w:val="0"/>
        </w:numPr>
        <w:spacing w:line="360" w:lineRule="auto"/>
        <w:ind w:leftChars="0" w:firstLine="640" w:firstLineChars="200"/>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突发环境事件应急预案</w:t>
      </w:r>
    </w:p>
    <w:p w14:paraId="1F7A6598">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drawing>
          <wp:inline distT="0" distB="0" distL="114300" distR="114300">
            <wp:extent cx="5246370" cy="6995160"/>
            <wp:effectExtent l="0" t="0" r="11430" b="15240"/>
            <wp:docPr id="6" name="图片 6" descr="3086ade4f2ca5a757b3c00b5ab99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086ade4f2ca5a757b3c00b5ab99071"/>
                    <pic:cNvPicPr>
                      <a:picLocks noChangeAspect="1"/>
                    </pic:cNvPicPr>
                  </pic:nvPicPr>
                  <pic:blipFill>
                    <a:blip r:embed="rId4"/>
                    <a:stretch>
                      <a:fillRect/>
                    </a:stretch>
                  </pic:blipFill>
                  <pic:spPr>
                    <a:xfrm>
                      <a:off x="0" y="0"/>
                      <a:ext cx="5246370" cy="6995160"/>
                    </a:xfrm>
                    <a:prstGeom prst="rect">
                      <a:avLst/>
                    </a:prstGeom>
                  </pic:spPr>
                </pic:pic>
              </a:graphicData>
            </a:graphic>
          </wp:inline>
        </w:drawing>
      </w:r>
    </w:p>
    <w:p w14:paraId="65D956D9">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p>
    <w:p w14:paraId="1D5411A5">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p>
    <w:p w14:paraId="453D7B27">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p>
    <w:p w14:paraId="791EB351">
      <w:pPr>
        <w:pStyle w:val="9"/>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drawing>
          <wp:inline distT="0" distB="0" distL="114300" distR="114300">
            <wp:extent cx="6948170" cy="5210810"/>
            <wp:effectExtent l="0" t="0" r="8890" b="5080"/>
            <wp:docPr id="7" name="图片 7" descr="09cde72d0fbfdb83448976079ae5a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09cde72d0fbfdb83448976079ae5a52"/>
                    <pic:cNvPicPr>
                      <a:picLocks noChangeAspect="1"/>
                    </pic:cNvPicPr>
                  </pic:nvPicPr>
                  <pic:blipFill>
                    <a:blip r:embed="rId5"/>
                    <a:stretch>
                      <a:fillRect/>
                    </a:stretch>
                  </pic:blipFill>
                  <pic:spPr>
                    <a:xfrm rot="16200000">
                      <a:off x="0" y="0"/>
                      <a:ext cx="6948170" cy="5210810"/>
                    </a:xfrm>
                    <a:prstGeom prst="rect">
                      <a:avLst/>
                    </a:prstGeom>
                  </pic:spPr>
                </pic:pic>
              </a:graphicData>
            </a:graphic>
          </wp:inline>
        </w:drawing>
      </w:r>
    </w:p>
    <w:p w14:paraId="1EB131F4">
      <w:pPr>
        <w:pStyle w:val="9"/>
        <w:numPr>
          <w:ilvl w:val="0"/>
          <w:numId w:val="0"/>
        </w:numPr>
        <w:spacing w:line="360" w:lineRule="auto"/>
        <w:rPr>
          <w:rFonts w:hint="eastAsia" w:ascii="仿宋" w:hAnsi="仿宋" w:eastAsia="仿宋" w:cs="仿宋"/>
          <w:sz w:val="32"/>
          <w:szCs w:val="32"/>
          <w:lang w:val="en-US" w:eastAsia="zh-CN"/>
        </w:rPr>
      </w:pPr>
    </w:p>
    <w:p w14:paraId="562DD16A">
      <w:pPr>
        <w:pStyle w:val="9"/>
        <w:numPr>
          <w:ilvl w:val="0"/>
          <w:numId w:val="0"/>
        </w:numPr>
        <w:spacing w:line="360" w:lineRule="auto"/>
        <w:rPr>
          <w:rFonts w:hint="eastAsia" w:ascii="仿宋" w:hAnsi="仿宋" w:eastAsia="仿宋" w:cs="仿宋"/>
          <w:sz w:val="32"/>
          <w:szCs w:val="32"/>
          <w:lang w:val="en-US" w:eastAsia="zh-CN"/>
        </w:rPr>
      </w:pPr>
    </w:p>
    <w:p w14:paraId="21325A2F">
      <w:pPr>
        <w:pStyle w:val="9"/>
        <w:numPr>
          <w:ilvl w:val="0"/>
          <w:numId w:val="0"/>
        </w:numPr>
        <w:spacing w:line="360" w:lineRule="auto"/>
        <w:rPr>
          <w:rFonts w:hint="eastAsia" w:ascii="仿宋" w:hAnsi="仿宋" w:eastAsia="仿宋" w:cs="仿宋"/>
          <w:sz w:val="32"/>
          <w:szCs w:val="32"/>
          <w:lang w:val="en-US" w:eastAsia="zh-CN"/>
        </w:rPr>
      </w:pPr>
    </w:p>
    <w:p w14:paraId="1F64BC2F">
      <w:pPr>
        <w:pStyle w:val="9"/>
        <w:numPr>
          <w:ilvl w:val="0"/>
          <w:numId w:val="0"/>
        </w:numPr>
        <w:spacing w:line="360" w:lineRule="auto"/>
        <w:rPr>
          <w:rFonts w:hint="eastAsia" w:ascii="仿宋" w:hAnsi="仿宋" w:eastAsia="仿宋" w:cs="仿宋"/>
          <w:sz w:val="32"/>
          <w:szCs w:val="32"/>
          <w:lang w:val="en-US" w:eastAsia="zh-CN"/>
        </w:rPr>
      </w:pPr>
    </w:p>
    <w:p w14:paraId="6D90E45C">
      <w:pPr>
        <w:pStyle w:val="9"/>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drawing>
          <wp:inline distT="0" distB="0" distL="114300" distR="114300">
            <wp:extent cx="5246370" cy="6995160"/>
            <wp:effectExtent l="0" t="0" r="11430" b="15240"/>
            <wp:docPr id="8" name="图片 8" descr="66d97d1eac900990d87b84ae7d4a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66d97d1eac900990d87b84ae7d4a511"/>
                    <pic:cNvPicPr>
                      <a:picLocks noChangeAspect="1"/>
                    </pic:cNvPicPr>
                  </pic:nvPicPr>
                  <pic:blipFill>
                    <a:blip r:embed="rId6"/>
                    <a:stretch>
                      <a:fillRect/>
                    </a:stretch>
                  </pic:blipFill>
                  <pic:spPr>
                    <a:xfrm>
                      <a:off x="0" y="0"/>
                      <a:ext cx="5246370" cy="6995160"/>
                    </a:xfrm>
                    <a:prstGeom prst="rect">
                      <a:avLst/>
                    </a:prstGeom>
                  </pic:spPr>
                </pic:pic>
              </a:graphicData>
            </a:graphic>
          </wp:inline>
        </w:drawing>
      </w:r>
    </w:p>
    <w:p w14:paraId="1B6E649D">
      <w:pPr>
        <w:pStyle w:val="9"/>
        <w:numPr>
          <w:ilvl w:val="0"/>
          <w:numId w:val="0"/>
        </w:numPr>
        <w:spacing w:line="360" w:lineRule="auto"/>
        <w:rPr>
          <w:rFonts w:hint="eastAsia" w:ascii="仿宋" w:hAnsi="仿宋" w:eastAsia="仿宋" w:cs="仿宋"/>
          <w:sz w:val="32"/>
          <w:szCs w:val="32"/>
          <w:lang w:val="en-US" w:eastAsia="zh-CN"/>
        </w:rPr>
      </w:pPr>
    </w:p>
    <w:p w14:paraId="346819F9">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p>
    <w:p w14:paraId="23886A99">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p>
    <w:p w14:paraId="3D2F2C76">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p>
    <w:p w14:paraId="66167791">
      <w:pPr>
        <w:pStyle w:val="9"/>
        <w:numPr>
          <w:ilvl w:val="0"/>
          <w:numId w:val="0"/>
        </w:numPr>
        <w:spacing w:line="360" w:lineRule="auto"/>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环评及环评批复</w:t>
      </w:r>
    </w:p>
    <w:p w14:paraId="051D2D7A">
      <w:pPr>
        <w:pStyle w:val="9"/>
        <w:numPr>
          <w:ilvl w:val="0"/>
          <w:numId w:val="0"/>
        </w:numPr>
        <w:spacing w:line="360" w:lineRule="auto"/>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drawing>
          <wp:inline distT="0" distB="0" distL="114300" distR="114300">
            <wp:extent cx="5246370" cy="6995160"/>
            <wp:effectExtent l="0" t="0" r="11430" b="15240"/>
            <wp:docPr id="9" name="图片 9" descr="3b12a5401342ce73237a30e8859e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3b12a5401342ce73237a30e8859e088"/>
                    <pic:cNvPicPr>
                      <a:picLocks noChangeAspect="1"/>
                    </pic:cNvPicPr>
                  </pic:nvPicPr>
                  <pic:blipFill>
                    <a:blip r:embed="rId7"/>
                    <a:stretch>
                      <a:fillRect/>
                    </a:stretch>
                  </pic:blipFill>
                  <pic:spPr>
                    <a:xfrm>
                      <a:off x="0" y="0"/>
                      <a:ext cx="5246370" cy="6995160"/>
                    </a:xfrm>
                    <a:prstGeom prst="rect">
                      <a:avLst/>
                    </a:prstGeom>
                  </pic:spPr>
                </pic:pic>
              </a:graphicData>
            </a:graphic>
          </wp:inline>
        </w:drawing>
      </w:r>
    </w:p>
    <w:p w14:paraId="40DB07E9">
      <w:pPr>
        <w:pStyle w:val="9"/>
        <w:numPr>
          <w:ilvl w:val="0"/>
          <w:numId w:val="0"/>
        </w:numPr>
        <w:spacing w:line="360" w:lineRule="auto"/>
        <w:jc w:val="both"/>
        <w:rPr>
          <w:rFonts w:hint="default" w:ascii="仿宋" w:hAnsi="仿宋" w:eastAsia="仿宋" w:cs="仿宋"/>
          <w:sz w:val="32"/>
          <w:szCs w:val="32"/>
          <w:lang w:val="en-US" w:eastAsia="zh-CN"/>
        </w:rPr>
      </w:pPr>
    </w:p>
    <w:p w14:paraId="5F6BB4E9">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p>
    <w:p w14:paraId="1F0C86B0">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p>
    <w:p w14:paraId="67CCC6F9">
      <w:pPr>
        <w:pStyle w:val="9"/>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drawing>
          <wp:inline distT="0" distB="0" distL="114300" distR="114300">
            <wp:extent cx="5273040" cy="7315200"/>
            <wp:effectExtent l="0" t="0" r="3810" b="0"/>
            <wp:docPr id="10" name="图片 10"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
                    <pic:cNvPicPr>
                      <a:picLocks noChangeAspect="1"/>
                    </pic:cNvPicPr>
                  </pic:nvPicPr>
                  <pic:blipFill>
                    <a:blip r:embed="rId8"/>
                    <a:stretch>
                      <a:fillRect/>
                    </a:stretch>
                  </pic:blipFill>
                  <pic:spPr>
                    <a:xfrm>
                      <a:off x="0" y="0"/>
                      <a:ext cx="5273040" cy="7315200"/>
                    </a:xfrm>
                    <a:prstGeom prst="rect">
                      <a:avLst/>
                    </a:prstGeom>
                  </pic:spPr>
                </pic:pic>
              </a:graphicData>
            </a:graphic>
          </wp:inline>
        </w:drawing>
      </w:r>
    </w:p>
    <w:p w14:paraId="14B84F5E">
      <w:pPr>
        <w:pStyle w:val="9"/>
        <w:numPr>
          <w:ilvl w:val="0"/>
          <w:numId w:val="0"/>
        </w:numPr>
        <w:spacing w:line="360" w:lineRule="auto"/>
        <w:rPr>
          <w:rFonts w:hint="eastAsia" w:ascii="仿宋" w:hAnsi="仿宋" w:eastAsia="仿宋" w:cs="仿宋"/>
          <w:sz w:val="32"/>
          <w:szCs w:val="32"/>
          <w:lang w:val="en-US" w:eastAsia="zh-CN"/>
        </w:rPr>
      </w:pPr>
    </w:p>
    <w:p w14:paraId="22E5D86E">
      <w:pPr>
        <w:pStyle w:val="9"/>
        <w:numPr>
          <w:ilvl w:val="0"/>
          <w:numId w:val="0"/>
        </w:numPr>
        <w:spacing w:line="360" w:lineRule="auto"/>
        <w:rPr>
          <w:rFonts w:hint="eastAsia" w:ascii="仿宋" w:hAnsi="仿宋" w:eastAsia="仿宋" w:cs="仿宋"/>
          <w:sz w:val="32"/>
          <w:szCs w:val="32"/>
          <w:lang w:val="en-US" w:eastAsia="zh-CN"/>
        </w:rPr>
      </w:pPr>
    </w:p>
    <w:p w14:paraId="1A38E09D">
      <w:pPr>
        <w:pStyle w:val="9"/>
        <w:numPr>
          <w:ilvl w:val="0"/>
          <w:numId w:val="0"/>
        </w:numPr>
        <w:spacing w:line="360" w:lineRule="auto"/>
        <w:rPr>
          <w:rFonts w:hint="eastAsia" w:ascii="仿宋" w:hAnsi="仿宋" w:eastAsia="仿宋" w:cs="仿宋"/>
          <w:sz w:val="32"/>
          <w:szCs w:val="32"/>
          <w:lang w:val="en-US" w:eastAsia="zh-CN"/>
        </w:rPr>
      </w:pPr>
    </w:p>
    <w:p w14:paraId="0AD8ABD5">
      <w:pPr>
        <w:pStyle w:val="9"/>
        <w:numPr>
          <w:ilvl w:val="0"/>
          <w:numId w:val="0"/>
        </w:numPr>
        <w:spacing w:line="360" w:lineRule="auto"/>
        <w:rPr>
          <w:rFonts w:hint="eastAsia" w:ascii="仿宋" w:hAnsi="仿宋" w:eastAsia="仿宋" w:cs="仿宋"/>
          <w:sz w:val="32"/>
          <w:szCs w:val="32"/>
          <w:lang w:val="en-US" w:eastAsia="zh-CN"/>
        </w:rPr>
      </w:pPr>
    </w:p>
    <w:p w14:paraId="3AA33078">
      <w:pPr>
        <w:pStyle w:val="9"/>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drawing>
          <wp:inline distT="0" distB="0" distL="114300" distR="114300">
            <wp:extent cx="5273040" cy="7315200"/>
            <wp:effectExtent l="0" t="0" r="3810" b="0"/>
            <wp:docPr id="11" name="图片 1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2"/>
                    <pic:cNvPicPr>
                      <a:picLocks noChangeAspect="1"/>
                    </pic:cNvPicPr>
                  </pic:nvPicPr>
                  <pic:blipFill>
                    <a:blip r:embed="rId9"/>
                    <a:stretch>
                      <a:fillRect/>
                    </a:stretch>
                  </pic:blipFill>
                  <pic:spPr>
                    <a:xfrm>
                      <a:off x="0" y="0"/>
                      <a:ext cx="5273040" cy="7315200"/>
                    </a:xfrm>
                    <a:prstGeom prst="rect">
                      <a:avLst/>
                    </a:prstGeom>
                  </pic:spPr>
                </pic:pic>
              </a:graphicData>
            </a:graphic>
          </wp:inline>
        </w:drawing>
      </w:r>
    </w:p>
    <w:p w14:paraId="3876021D">
      <w:pPr>
        <w:pStyle w:val="9"/>
        <w:numPr>
          <w:ilvl w:val="0"/>
          <w:numId w:val="0"/>
        </w:numPr>
        <w:spacing w:line="360" w:lineRule="auto"/>
        <w:rPr>
          <w:rFonts w:hint="eastAsia" w:ascii="仿宋" w:hAnsi="仿宋" w:eastAsia="仿宋" w:cs="仿宋"/>
          <w:sz w:val="32"/>
          <w:szCs w:val="32"/>
          <w:lang w:val="en-US" w:eastAsia="zh-CN"/>
        </w:rPr>
      </w:pPr>
    </w:p>
    <w:p w14:paraId="06AF0B8C">
      <w:pPr>
        <w:pStyle w:val="9"/>
        <w:numPr>
          <w:ilvl w:val="0"/>
          <w:numId w:val="0"/>
        </w:numPr>
        <w:spacing w:line="360" w:lineRule="auto"/>
        <w:rPr>
          <w:rFonts w:hint="eastAsia" w:ascii="仿宋" w:hAnsi="仿宋" w:eastAsia="仿宋" w:cs="仿宋"/>
          <w:sz w:val="32"/>
          <w:szCs w:val="32"/>
          <w:lang w:val="en-US" w:eastAsia="zh-CN"/>
        </w:rPr>
      </w:pPr>
    </w:p>
    <w:p w14:paraId="487AEE04">
      <w:pPr>
        <w:pStyle w:val="9"/>
        <w:numPr>
          <w:ilvl w:val="0"/>
          <w:numId w:val="0"/>
        </w:numPr>
        <w:spacing w:line="360" w:lineRule="auto"/>
        <w:rPr>
          <w:rFonts w:hint="eastAsia" w:ascii="仿宋" w:hAnsi="仿宋" w:eastAsia="仿宋" w:cs="仿宋"/>
          <w:sz w:val="32"/>
          <w:szCs w:val="32"/>
          <w:lang w:val="en-US" w:eastAsia="zh-CN"/>
        </w:rPr>
      </w:pPr>
    </w:p>
    <w:p w14:paraId="00C7BD1E">
      <w:pPr>
        <w:pStyle w:val="9"/>
        <w:numPr>
          <w:ilvl w:val="0"/>
          <w:numId w:val="0"/>
        </w:numPr>
        <w:spacing w:line="360" w:lineRule="auto"/>
        <w:rPr>
          <w:rFonts w:hint="eastAsia" w:ascii="仿宋" w:hAnsi="仿宋" w:eastAsia="仿宋" w:cs="仿宋"/>
          <w:sz w:val="32"/>
          <w:szCs w:val="32"/>
          <w:lang w:val="en-US" w:eastAsia="zh-CN"/>
        </w:rPr>
      </w:pPr>
    </w:p>
    <w:p w14:paraId="2744CA93">
      <w:pPr>
        <w:pStyle w:val="9"/>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drawing>
          <wp:inline distT="0" distB="0" distL="114300" distR="114300">
            <wp:extent cx="5273040" cy="7315200"/>
            <wp:effectExtent l="0" t="0" r="3810" b="0"/>
            <wp:docPr id="12" name="图片 1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3"/>
                    <pic:cNvPicPr>
                      <a:picLocks noChangeAspect="1"/>
                    </pic:cNvPicPr>
                  </pic:nvPicPr>
                  <pic:blipFill>
                    <a:blip r:embed="rId10"/>
                    <a:stretch>
                      <a:fillRect/>
                    </a:stretch>
                  </pic:blipFill>
                  <pic:spPr>
                    <a:xfrm>
                      <a:off x="0" y="0"/>
                      <a:ext cx="5273040" cy="7315200"/>
                    </a:xfrm>
                    <a:prstGeom prst="rect">
                      <a:avLst/>
                    </a:prstGeom>
                  </pic:spPr>
                </pic:pic>
              </a:graphicData>
            </a:graphic>
          </wp:inline>
        </w:drawing>
      </w:r>
    </w:p>
    <w:p w14:paraId="1882C47E">
      <w:pPr>
        <w:pStyle w:val="9"/>
        <w:numPr>
          <w:ilvl w:val="0"/>
          <w:numId w:val="0"/>
        </w:numPr>
        <w:spacing w:line="360" w:lineRule="auto"/>
        <w:rPr>
          <w:rFonts w:hint="eastAsia" w:ascii="仿宋" w:hAnsi="仿宋" w:eastAsia="仿宋" w:cs="仿宋"/>
          <w:sz w:val="32"/>
          <w:szCs w:val="32"/>
          <w:lang w:val="en-US" w:eastAsia="zh-CN"/>
        </w:rPr>
      </w:pPr>
    </w:p>
    <w:p w14:paraId="1ED8557E">
      <w:pPr>
        <w:pStyle w:val="9"/>
        <w:numPr>
          <w:ilvl w:val="0"/>
          <w:numId w:val="0"/>
        </w:numPr>
        <w:spacing w:line="360" w:lineRule="auto"/>
        <w:rPr>
          <w:rFonts w:hint="eastAsia" w:ascii="仿宋" w:hAnsi="仿宋" w:eastAsia="仿宋" w:cs="仿宋"/>
          <w:sz w:val="32"/>
          <w:szCs w:val="32"/>
          <w:lang w:val="en-US" w:eastAsia="zh-CN"/>
        </w:rPr>
      </w:pPr>
    </w:p>
    <w:p w14:paraId="67E4BD0E">
      <w:pPr>
        <w:pStyle w:val="9"/>
        <w:numPr>
          <w:ilvl w:val="0"/>
          <w:numId w:val="0"/>
        </w:numPr>
        <w:spacing w:line="360" w:lineRule="auto"/>
        <w:rPr>
          <w:rFonts w:hint="eastAsia" w:ascii="仿宋" w:hAnsi="仿宋" w:eastAsia="仿宋" w:cs="仿宋"/>
          <w:sz w:val="32"/>
          <w:szCs w:val="32"/>
          <w:lang w:val="en-US" w:eastAsia="zh-CN"/>
        </w:rPr>
      </w:pPr>
    </w:p>
    <w:p w14:paraId="239F04AB">
      <w:pPr>
        <w:pStyle w:val="9"/>
        <w:numPr>
          <w:ilvl w:val="0"/>
          <w:numId w:val="0"/>
        </w:numPr>
        <w:spacing w:line="360" w:lineRule="auto"/>
        <w:rPr>
          <w:rFonts w:hint="eastAsia" w:ascii="仿宋" w:hAnsi="仿宋" w:eastAsia="仿宋" w:cs="仿宋"/>
          <w:sz w:val="32"/>
          <w:szCs w:val="32"/>
          <w:lang w:val="en-US" w:eastAsia="zh-CN"/>
        </w:rPr>
      </w:pPr>
    </w:p>
    <w:p w14:paraId="15D19B4D">
      <w:pPr>
        <w:pStyle w:val="9"/>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drawing>
          <wp:inline distT="0" distB="0" distL="114300" distR="114300">
            <wp:extent cx="5273040" cy="7315200"/>
            <wp:effectExtent l="0" t="0" r="3810" b="0"/>
            <wp:docPr id="13" name="图片 13"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4"/>
                    <pic:cNvPicPr>
                      <a:picLocks noChangeAspect="1"/>
                    </pic:cNvPicPr>
                  </pic:nvPicPr>
                  <pic:blipFill>
                    <a:blip r:embed="rId11"/>
                    <a:stretch>
                      <a:fillRect/>
                    </a:stretch>
                  </pic:blipFill>
                  <pic:spPr>
                    <a:xfrm>
                      <a:off x="0" y="0"/>
                      <a:ext cx="5273040" cy="7315200"/>
                    </a:xfrm>
                    <a:prstGeom prst="rect">
                      <a:avLst/>
                    </a:prstGeom>
                  </pic:spPr>
                </pic:pic>
              </a:graphicData>
            </a:graphic>
          </wp:inline>
        </w:drawing>
      </w:r>
    </w:p>
    <w:p w14:paraId="06C31DE9">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p>
    <w:p w14:paraId="0EE3CF7E">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p>
    <w:p w14:paraId="2B211FE5">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p>
    <w:p w14:paraId="774464BD">
      <w:pPr>
        <w:pStyle w:val="9"/>
        <w:numPr>
          <w:ilvl w:val="0"/>
          <w:numId w:val="0"/>
        </w:numPr>
        <w:spacing w:line="360" w:lineRule="auto"/>
        <w:ind w:leftChars="0" w:firstLine="640" w:firstLineChars="200"/>
        <w:rPr>
          <w:rFonts w:hint="eastAsia" w:ascii="仿宋" w:hAnsi="仿宋" w:eastAsia="仿宋" w:cs="仿宋"/>
          <w:sz w:val="32"/>
          <w:szCs w:val="32"/>
          <w:lang w:val="en-US" w:eastAsia="zh-CN"/>
        </w:rPr>
      </w:pPr>
    </w:p>
    <w:p w14:paraId="43F32907">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bCs/>
          <w:sz w:val="44"/>
          <w:szCs w:val="44"/>
          <w:lang w:val="en-US" w:eastAsia="zh-CN"/>
        </w:rPr>
      </w:pPr>
      <w:r>
        <w:rPr>
          <w:rFonts w:hint="eastAsia" w:ascii="宋体" w:hAnsi="宋体" w:eastAsia="宋体" w:cs="宋体"/>
          <w:b/>
          <w:bCs/>
          <w:sz w:val="44"/>
          <w:szCs w:val="44"/>
          <w:lang w:eastAsia="zh-CN"/>
        </w:rPr>
        <w:t>确山县</w:t>
      </w:r>
      <w:r>
        <w:rPr>
          <w:rFonts w:hint="eastAsia" w:ascii="宋体" w:hAnsi="宋体" w:eastAsia="宋体" w:cs="宋体"/>
          <w:b/>
          <w:bCs/>
          <w:sz w:val="44"/>
          <w:szCs w:val="44"/>
          <w:lang w:val="en-US" w:eastAsia="zh-CN"/>
        </w:rPr>
        <w:t>清源污水处理有限公司</w:t>
      </w:r>
    </w:p>
    <w:p w14:paraId="2237565A">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bCs/>
          <w:sz w:val="44"/>
          <w:szCs w:val="44"/>
          <w:lang w:eastAsia="zh-CN"/>
        </w:rPr>
      </w:pPr>
      <w:r>
        <w:rPr>
          <w:rFonts w:hint="eastAsia" w:ascii="宋体" w:hAnsi="宋体" w:eastAsia="宋体" w:cs="宋体"/>
          <w:b/>
          <w:bCs/>
          <w:sz w:val="44"/>
          <w:szCs w:val="44"/>
          <w:lang w:eastAsia="zh-CN"/>
        </w:rPr>
        <w:t>自行监测方案</w:t>
      </w:r>
    </w:p>
    <w:p w14:paraId="77041E64">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883" w:firstLineChars="200"/>
        <w:jc w:val="center"/>
        <w:textAlignment w:val="auto"/>
        <w:outlineLvl w:val="9"/>
        <w:rPr>
          <w:rFonts w:hint="eastAsia" w:ascii="宋体" w:hAnsi="宋体" w:eastAsia="宋体" w:cs="宋体"/>
          <w:b/>
          <w:bCs/>
          <w:sz w:val="44"/>
          <w:szCs w:val="44"/>
          <w:lang w:eastAsia="zh-CN"/>
        </w:rPr>
      </w:pPr>
    </w:p>
    <w:p w14:paraId="3D2050C4">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为了给厂内正常生产运行提供连续可靠的化验数据，并</w:t>
      </w:r>
      <w:r>
        <w:rPr>
          <w:rFonts w:hint="eastAsia" w:ascii="仿宋_GB2312" w:hAnsi="仿宋_GB2312" w:eastAsia="仿宋_GB2312" w:cs="仿宋_GB2312"/>
          <w:sz w:val="32"/>
          <w:szCs w:val="32"/>
          <w:lang w:val="en-US" w:eastAsia="zh-CN"/>
        </w:rPr>
        <w:t>响应各级环保部门的号召，完善总量减排监测体系建设，</w:t>
      </w:r>
      <w:r>
        <w:rPr>
          <w:rFonts w:hint="eastAsia" w:ascii="仿宋_GB2312" w:hAnsi="仿宋_GB2312" w:eastAsia="仿宋_GB2312" w:cs="仿宋_GB2312"/>
          <w:sz w:val="32"/>
          <w:szCs w:val="32"/>
          <w:lang w:eastAsia="zh-CN"/>
        </w:rPr>
        <w:t>建立重点企业自行监测信息公开平台的需要，特制定本方案：</w:t>
      </w:r>
    </w:p>
    <w:p w14:paraId="0A43221A">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3" w:firstLineChars="200"/>
        <w:jc w:val="both"/>
        <w:textAlignment w:val="auto"/>
        <w:outlineLvl w:val="9"/>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一、基本情况</w:t>
      </w:r>
    </w:p>
    <w:p w14:paraId="7F87445E">
      <w:pPr>
        <w:pStyle w:val="9"/>
        <w:spacing w:line="360" w:lineRule="auto"/>
        <w:ind w:firstLine="640"/>
        <w:rPr>
          <w:rFonts w:hint="eastAsia" w:ascii="仿宋_GB2312" w:hAnsi="仿宋_GB2312" w:eastAsia="仿宋_GB2312"/>
          <w:sz w:val="32"/>
          <w:szCs w:val="32"/>
          <w:lang w:val="en-US" w:eastAsia="zh-CN"/>
        </w:rPr>
      </w:pPr>
      <w:r>
        <w:rPr>
          <w:rFonts w:hint="eastAsia" w:ascii="仿宋_GB2312" w:hAnsi="仿宋_GB2312" w:eastAsia="仿宋_GB2312"/>
          <w:sz w:val="32"/>
          <w:szCs w:val="32"/>
        </w:rPr>
        <w:t>确山县污水处理厂由确山县人民政府委托确山县水务有限公司负责筹建</w:t>
      </w:r>
      <w:r>
        <w:rPr>
          <w:rFonts w:hint="eastAsia" w:ascii="仿宋_GB2312" w:hAnsi="仿宋_GB2312" w:eastAsia="仿宋_GB2312"/>
          <w:sz w:val="32"/>
          <w:szCs w:val="32"/>
          <w:lang w:eastAsia="zh-CN"/>
        </w:rPr>
        <w:t>。</w:t>
      </w:r>
      <w:r>
        <w:rPr>
          <w:rFonts w:hint="eastAsia" w:ascii="仿宋_GB2312" w:hAnsi="仿宋_GB2312" w:eastAsia="仿宋_GB2312"/>
          <w:sz w:val="32"/>
          <w:szCs w:val="32"/>
        </w:rPr>
        <w:t>设计处理规模2万吨/日，配套管网27.38公里,采用卡鲁塞尔氧化沟工艺,执行国家一级B排放标准。工程于2006年4月开工建设，2007年7月开始试运行，2008年2月通过环保验收。</w:t>
      </w:r>
      <w:r>
        <w:rPr>
          <w:rFonts w:hint="eastAsia" w:ascii="仿宋_GB2312" w:hAnsi="仿宋_GB2312" w:eastAsia="仿宋_GB2312"/>
          <w:sz w:val="32"/>
          <w:szCs w:val="32"/>
          <w:lang w:eastAsia="zh-CN"/>
        </w:rPr>
        <w:t>随着确山县城经济发展及人口增加，确山县污水处理厂改扩建工程于</w:t>
      </w:r>
      <w:r>
        <w:rPr>
          <w:rFonts w:hint="eastAsia" w:ascii="仿宋_GB2312" w:hAnsi="仿宋_GB2312" w:eastAsia="仿宋_GB2312"/>
          <w:sz w:val="32"/>
          <w:szCs w:val="32"/>
          <w:lang w:val="en-US" w:eastAsia="zh-CN"/>
        </w:rPr>
        <w:t>2013年10月开工建设，工程建设内容为：原厂区升级改造1.5</w:t>
      </w:r>
      <w:r>
        <w:rPr>
          <w:rFonts w:hint="eastAsia" w:ascii="仿宋_GB2312" w:hAnsi="仿宋_GB2312" w:eastAsia="仿宋_GB2312"/>
          <w:sz w:val="32"/>
          <w:szCs w:val="32"/>
        </w:rPr>
        <w:t>万吨/日</w:t>
      </w:r>
      <w:r>
        <w:rPr>
          <w:rFonts w:hint="eastAsia" w:ascii="仿宋_GB2312" w:hAnsi="仿宋_GB2312" w:eastAsia="仿宋_GB2312"/>
          <w:sz w:val="32"/>
          <w:szCs w:val="32"/>
          <w:lang w:eastAsia="zh-CN"/>
        </w:rPr>
        <w:t>，扩建</w:t>
      </w:r>
      <w:r>
        <w:rPr>
          <w:rFonts w:hint="eastAsia" w:ascii="仿宋_GB2312" w:hAnsi="仿宋_GB2312" w:eastAsia="仿宋_GB2312"/>
          <w:sz w:val="32"/>
          <w:szCs w:val="32"/>
          <w:lang w:val="en-US" w:eastAsia="zh-CN"/>
        </w:rPr>
        <w:t>2.5万吨/日的污水厂一座，共计4万吨/日，执行国家一级A排放标准。工程于2015年4月试运行，2015年11月通过原厂区升级改造及扩建厂区</w:t>
      </w:r>
      <w:r>
        <w:rPr>
          <w:rFonts w:hint="eastAsia" w:ascii="仿宋_GB2312" w:hAnsi="仿宋_GB2312" w:eastAsia="仿宋_GB2312"/>
          <w:sz w:val="32"/>
          <w:szCs w:val="32"/>
          <w:lang w:eastAsia="zh-CN"/>
        </w:rPr>
        <w:t>单线</w:t>
      </w:r>
      <w:r>
        <w:rPr>
          <w:rFonts w:hint="eastAsia" w:ascii="仿宋_GB2312" w:hAnsi="仿宋_GB2312" w:eastAsia="仿宋_GB2312"/>
          <w:sz w:val="32"/>
          <w:szCs w:val="32"/>
          <w:lang w:val="en-US" w:eastAsia="zh-CN"/>
        </w:rPr>
        <w:t>1.25万吨/日的环保竣工验收，2018年11月升级改造及扩建厂区剩余单线1.25万吨/日也环保竣工验收。自此确山县污水厂及其升级改造工程共计4万吨/日已全部环保竣工验收正常运行。</w:t>
      </w:r>
    </w:p>
    <w:p w14:paraId="44F3DF0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确山县产业集聚区污水处理厂选址位于产业集聚区金城大道西侧，生活污水处理厂对面，占地面积近</w:t>
      </w:r>
      <w:r>
        <w:rPr>
          <w:rFonts w:hint="eastAsia" w:ascii="仿宋_GB2312" w:hAnsi="仿宋_GB2312" w:eastAsia="仿宋_GB2312" w:cs="仿宋_GB2312"/>
          <w:sz w:val="32"/>
          <w:szCs w:val="32"/>
          <w:lang w:val="en-US" w:eastAsia="zh-CN"/>
        </w:rPr>
        <w:t>50亩。工程建设规模为2万吨的污水处理厂一座，设计出水水质标准为一级A，项目采用“预处理+二级生化处理+三级深度处理”工艺。工程于2014年8月16日开工建设，2015年8月底建设完成，2018年三月底正式投入运行。</w:t>
      </w:r>
    </w:p>
    <w:p w14:paraId="70B50745">
      <w:pPr>
        <w:pStyle w:val="9"/>
        <w:spacing w:line="360" w:lineRule="auto"/>
        <w:ind w:firstLine="640"/>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2019年按照上级要求，建设了确山县污水处理厂升级改造工程，该工程主要作用是把确山县污水处理厂和确山县产业集聚区污水处理厂的外排水收集到工程深度处理单元再次进行深度处理，使两厂执行的一级A标准提升至地表类四类水标准。</w:t>
      </w:r>
    </w:p>
    <w:p w14:paraId="289B42B5">
      <w:pPr>
        <w:pStyle w:val="9"/>
        <w:spacing w:line="360" w:lineRule="auto"/>
        <w:ind w:firstLine="640"/>
        <w:rPr>
          <w:rFonts w:hint="default" w:ascii="仿宋_GB2312" w:hAnsi="仿宋_GB2312" w:eastAsia="仿宋_GB2312"/>
          <w:sz w:val="32"/>
          <w:szCs w:val="32"/>
          <w:lang w:val="en-US" w:eastAsia="zh-CN"/>
        </w:rPr>
      </w:pPr>
      <w:r>
        <w:rPr>
          <w:rFonts w:hint="eastAsia" w:ascii="仿宋" w:hAnsi="仿宋" w:eastAsia="仿宋" w:cs="仿宋"/>
          <w:sz w:val="32"/>
          <w:szCs w:val="40"/>
          <w:lang w:val="en-US" w:eastAsia="zh-CN"/>
        </w:rPr>
        <w:t>2024年1月16日确山县产业集聚区污水厂、确山县污水厂及确山县升级改造工程全部合并为确山县清源污水处理有限公司。目前，确山县清源污水处理有限公司共有两个进水口，一个出水口。</w:t>
      </w:r>
    </w:p>
    <w:p w14:paraId="0223B283">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二、监测依据</w:t>
      </w:r>
    </w:p>
    <w:p w14:paraId="3EE521F2">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1、原国家环境保护局第10号令《排放污染物申报登记管理规定》1992年；</w:t>
      </w:r>
    </w:p>
    <w:p w14:paraId="731A58DB">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2、原国家环境保护局第39号令《环境监测管理办法》2007年；</w:t>
      </w:r>
    </w:p>
    <w:p w14:paraId="5262AC0F">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3、国务院办公厅国办发[2013]4号《“十二五”主要污染物总量减排考核办法》2013年；</w:t>
      </w:r>
    </w:p>
    <w:p w14:paraId="20692944">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4、环保部、国家统计局、国家发改委、监察部文件环发[2013]14号《“十二五”主要污染物总量减排监测办法》2013年；</w:t>
      </w:r>
    </w:p>
    <w:p w14:paraId="361A4CE5">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5、《国家重点监控企业自行监测及信息公开办法》（试行）；</w:t>
      </w:r>
    </w:p>
    <w:p w14:paraId="4F576AF3">
      <w:pPr>
        <w:pStyle w:val="2"/>
        <w:rPr>
          <w:rFonts w:hint="default"/>
          <w:lang w:val="en-US" w:eastAsia="zh-CN"/>
        </w:rPr>
      </w:pPr>
      <w:r>
        <w:rPr>
          <w:rFonts w:hint="eastAsia" w:ascii="仿宋_GB2312" w:hAnsi="仿宋_GB2312" w:eastAsia="仿宋_GB2312" w:cs="仿宋_GB2312"/>
          <w:b w:val="0"/>
          <w:bCs w:val="0"/>
          <w:sz w:val="32"/>
          <w:szCs w:val="32"/>
          <w:lang w:val="en-US" w:eastAsia="zh-CN"/>
        </w:rPr>
        <w:t xml:space="preserve">    6、《排污单位自行监测技术指标》HJ819-2017；</w:t>
      </w:r>
    </w:p>
    <w:p w14:paraId="62806740">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7、《城镇污水处理厂污染物排放标准》（GB 18918-2002）</w:t>
      </w:r>
    </w:p>
    <w:p w14:paraId="4E006AC8">
      <w:pPr>
        <w:pStyle w:val="2"/>
        <w:ind w:firstLine="640"/>
        <w:rPr>
          <w:rFonts w:hint="eastAsia" w:ascii="宋体" w:hAnsi="宋体" w:eastAsia="宋体" w:cs="宋体"/>
          <w:b w:val="0"/>
          <w:bCs/>
          <w:i w:val="0"/>
          <w:iCs w:val="0"/>
          <w:caps w:val="0"/>
          <w:color w:val="000000"/>
          <w:spacing w:val="0"/>
          <w:sz w:val="32"/>
          <w:szCs w:val="32"/>
          <w:shd w:val="clear" w:color="auto" w:fill="FFFFFF"/>
        </w:rPr>
      </w:pPr>
      <w:r>
        <w:rPr>
          <w:rFonts w:hint="eastAsia" w:ascii="宋体" w:hAnsi="宋体" w:eastAsia="宋体" w:cs="宋体"/>
          <w:b w:val="0"/>
          <w:bCs w:val="0"/>
          <w:sz w:val="32"/>
          <w:szCs w:val="32"/>
          <w:lang w:val="en-US" w:eastAsia="zh-CN"/>
        </w:rPr>
        <w:t>8、</w:t>
      </w:r>
      <w:r>
        <w:rPr>
          <w:rFonts w:hint="eastAsia" w:ascii="宋体" w:hAnsi="宋体" w:eastAsia="宋体" w:cs="宋体"/>
          <w:b w:val="0"/>
          <w:bCs/>
          <w:i w:val="0"/>
          <w:iCs w:val="0"/>
          <w:caps w:val="0"/>
          <w:color w:val="000000"/>
          <w:spacing w:val="0"/>
          <w:sz w:val="32"/>
          <w:szCs w:val="32"/>
          <w:shd w:val="clear" w:color="auto" w:fill="FFFFFF"/>
        </w:rPr>
        <w:t>《洪河流域水污染物排放标准》（DB41/ 1257—2016）</w:t>
      </w:r>
    </w:p>
    <w:p w14:paraId="5AAF4EB9">
      <w:pPr>
        <w:pStyle w:val="3"/>
        <w:ind w:firstLine="640"/>
        <w:jc w:val="both"/>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9、</w:t>
      </w:r>
      <w:r>
        <w:rPr>
          <w:rFonts w:hint="eastAsia" w:ascii="宋体" w:hAnsi="宋体" w:eastAsia="宋体" w:cs="宋体"/>
          <w:b w:val="0"/>
          <w:bCs/>
          <w:color w:val="000000"/>
          <w:sz w:val="32"/>
          <w:szCs w:val="32"/>
          <w:lang w:val="en-US" w:eastAsia="zh-CN"/>
        </w:rPr>
        <w:t>恶臭污染物排放标准GB 14554-93</w:t>
      </w:r>
    </w:p>
    <w:p w14:paraId="1EDA9D18">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三、污染源及治理措施</w:t>
      </w:r>
    </w:p>
    <w:p w14:paraId="046CACBB">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我厂主要污染源为城镇生活污水和部分工业污水；</w:t>
      </w:r>
    </w:p>
    <w:p w14:paraId="5373D8C6">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治理措施为：活性污泥卡鲁塞尔氧化沟工艺；</w:t>
      </w:r>
    </w:p>
    <w:p w14:paraId="2C1B2ED9">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排放去向：小沙河</w:t>
      </w:r>
    </w:p>
    <w:p w14:paraId="36B42C59">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四、评价标准</w:t>
      </w:r>
    </w:p>
    <w:p w14:paraId="323E6A30">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1、监测执行标准：</w:t>
      </w:r>
      <w:r>
        <w:rPr>
          <w:rFonts w:hint="eastAsia" w:ascii="仿宋" w:hAnsi="仿宋" w:eastAsia="仿宋" w:cs="仿宋"/>
          <w:i w:val="0"/>
          <w:iCs w:val="0"/>
          <w:caps w:val="0"/>
          <w:color w:val="000000"/>
          <w:spacing w:val="0"/>
          <w:sz w:val="32"/>
          <w:szCs w:val="32"/>
          <w:shd w:val="clear" w:color="auto" w:fill="FFFFFF"/>
        </w:rPr>
        <w:t>城镇污水处理厂污染物排放标准GB 18918-2002</w:t>
      </w:r>
      <w:r>
        <w:rPr>
          <w:rFonts w:hint="eastAsia" w:ascii="仿宋" w:hAnsi="仿宋" w:eastAsia="仿宋" w:cs="仿宋"/>
          <w:i w:val="0"/>
          <w:iCs w:val="0"/>
          <w:caps w:val="0"/>
          <w:color w:val="000000"/>
          <w:spacing w:val="0"/>
          <w:sz w:val="32"/>
          <w:szCs w:val="32"/>
          <w:shd w:val="clear" w:color="auto" w:fill="FFFFFF"/>
          <w:lang w:eastAsia="zh-CN"/>
        </w:rPr>
        <w:t>、</w:t>
      </w:r>
      <w:r>
        <w:rPr>
          <w:rFonts w:hint="eastAsia" w:ascii="仿宋" w:hAnsi="仿宋" w:eastAsia="仿宋" w:cs="仿宋"/>
          <w:i w:val="0"/>
          <w:iCs w:val="0"/>
          <w:caps w:val="0"/>
          <w:color w:val="000000"/>
          <w:spacing w:val="0"/>
          <w:sz w:val="32"/>
          <w:szCs w:val="32"/>
          <w:shd w:val="clear" w:color="auto" w:fill="FFFFFF"/>
        </w:rPr>
        <w:t>《洪河流域水污染物排放标准》（DB41/ 1257—2016）</w:t>
      </w:r>
      <w:r>
        <w:rPr>
          <w:rFonts w:hint="eastAsia" w:ascii="仿宋" w:hAnsi="仿宋" w:eastAsia="仿宋" w:cs="仿宋"/>
          <w:i w:val="0"/>
          <w:iCs w:val="0"/>
          <w:caps w:val="0"/>
          <w:color w:val="000000"/>
          <w:spacing w:val="0"/>
          <w:sz w:val="32"/>
          <w:szCs w:val="32"/>
          <w:shd w:val="clear" w:color="auto" w:fill="FFFFFF"/>
          <w:lang w:eastAsia="zh-CN"/>
        </w:rPr>
        <w:t>、</w:t>
      </w:r>
      <w:r>
        <w:rPr>
          <w:rFonts w:hint="eastAsia" w:ascii="仿宋" w:hAnsi="仿宋" w:eastAsia="仿宋" w:cs="仿宋"/>
          <w:b w:val="0"/>
          <w:bCs/>
          <w:color w:val="000000"/>
          <w:sz w:val="32"/>
          <w:szCs w:val="32"/>
          <w:lang w:val="en-US" w:eastAsia="zh-CN"/>
        </w:rPr>
        <w:t>恶臭污染物排放标准GB 14554-93</w:t>
      </w:r>
      <w:r>
        <w:rPr>
          <w:rFonts w:hint="eastAsia" w:ascii="仿宋" w:hAnsi="仿宋" w:eastAsia="仿宋" w:cs="仿宋"/>
          <w:b w:val="0"/>
          <w:bCs w:val="0"/>
          <w:sz w:val="32"/>
          <w:szCs w:val="32"/>
          <w:lang w:val="en-US" w:eastAsia="zh-CN"/>
        </w:rPr>
        <w:t>。</w:t>
      </w:r>
    </w:p>
    <w:p w14:paraId="58A64E5A">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2、标准限值及监测频次</w:t>
      </w:r>
    </w:p>
    <w:p w14:paraId="5E9C56F9">
      <w:pPr>
        <w:pStyle w:val="2"/>
        <w:rPr>
          <w:rFonts w:hint="eastAsia"/>
          <w:lang w:val="en-US" w:eastAsia="zh-CN"/>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53"/>
        <w:gridCol w:w="1822"/>
        <w:gridCol w:w="4025"/>
      </w:tblGrid>
      <w:tr w14:paraId="5BD81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8500" w:type="dxa"/>
            <w:gridSpan w:val="3"/>
            <w:noWrap w:val="0"/>
            <w:vAlign w:val="center"/>
          </w:tcPr>
          <w:p w14:paraId="25FC3F92">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
                <w:bCs w:val="0"/>
                <w:color w:val="000000"/>
                <w:sz w:val="24"/>
                <w:szCs w:val="24"/>
                <w:lang w:val="en-US" w:eastAsia="zh-CN"/>
              </w:rPr>
              <w:t>无组织废气检测执行标准及限值</w:t>
            </w:r>
          </w:p>
        </w:tc>
      </w:tr>
      <w:tr w14:paraId="49F5C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2653" w:type="dxa"/>
            <w:noWrap w:val="0"/>
            <w:vAlign w:val="center"/>
          </w:tcPr>
          <w:p w14:paraId="04D212E4">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污染物</w:t>
            </w:r>
          </w:p>
        </w:tc>
        <w:tc>
          <w:tcPr>
            <w:tcW w:w="1822" w:type="dxa"/>
            <w:noWrap w:val="0"/>
            <w:vAlign w:val="center"/>
          </w:tcPr>
          <w:p w14:paraId="0ED4CF61">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排放限值</w:t>
            </w:r>
          </w:p>
        </w:tc>
        <w:tc>
          <w:tcPr>
            <w:tcW w:w="4025" w:type="dxa"/>
            <w:noWrap w:val="0"/>
            <w:vAlign w:val="center"/>
          </w:tcPr>
          <w:p w14:paraId="69AD41EA">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排放执行标准</w:t>
            </w:r>
          </w:p>
        </w:tc>
      </w:tr>
      <w:tr w14:paraId="5F365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2653" w:type="dxa"/>
            <w:noWrap w:val="0"/>
            <w:vAlign w:val="center"/>
          </w:tcPr>
          <w:p w14:paraId="207F15B3">
            <w:pPr>
              <w:adjustRightInd w:val="0"/>
              <w:snapToGrid w:val="0"/>
              <w:spacing w:line="400" w:lineRule="exact"/>
              <w:jc w:val="center"/>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sz w:val="24"/>
                <w:szCs w:val="24"/>
                <w:lang w:val="en-US" w:eastAsia="zh-CN"/>
              </w:rPr>
              <w:t>氨（氨气）</w:t>
            </w:r>
          </w:p>
        </w:tc>
        <w:tc>
          <w:tcPr>
            <w:tcW w:w="1822" w:type="dxa"/>
            <w:noWrap w:val="0"/>
            <w:vAlign w:val="center"/>
          </w:tcPr>
          <w:p w14:paraId="0916CF24">
            <w:pPr>
              <w:spacing w:line="320" w:lineRule="exact"/>
              <w:jc w:val="center"/>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sz w:val="24"/>
                <w:szCs w:val="24"/>
                <w:lang w:val="en-US" w:eastAsia="zh-CN"/>
              </w:rPr>
              <w:t>1.5mg/Nm</w:t>
            </w:r>
            <w:r>
              <w:rPr>
                <w:rFonts w:hint="eastAsia" w:ascii="宋体" w:hAnsi="宋体" w:eastAsia="宋体" w:cs="宋体"/>
                <w:bCs/>
                <w:color w:val="000000"/>
                <w:sz w:val="24"/>
                <w:szCs w:val="24"/>
                <w:vertAlign w:val="superscript"/>
                <w:lang w:val="en-US" w:eastAsia="zh-CN"/>
              </w:rPr>
              <w:t>3</w:t>
            </w:r>
          </w:p>
        </w:tc>
        <w:tc>
          <w:tcPr>
            <w:tcW w:w="4025" w:type="dxa"/>
            <w:vMerge w:val="restart"/>
            <w:noWrap w:val="0"/>
            <w:vAlign w:val="center"/>
          </w:tcPr>
          <w:p w14:paraId="2CB613FE">
            <w:pPr>
              <w:spacing w:line="32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《城镇污水处理厂污染物排放标准》</w:t>
            </w:r>
          </w:p>
          <w:p w14:paraId="496A9926">
            <w:pPr>
              <w:spacing w:line="32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（GB 18918-2002）标准限值要求</w:t>
            </w:r>
          </w:p>
        </w:tc>
      </w:tr>
      <w:tr w14:paraId="4493B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2653" w:type="dxa"/>
            <w:noWrap w:val="0"/>
            <w:vAlign w:val="center"/>
          </w:tcPr>
          <w:p w14:paraId="0BF210B4">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甲烷</w:t>
            </w:r>
          </w:p>
        </w:tc>
        <w:tc>
          <w:tcPr>
            <w:tcW w:w="1822" w:type="dxa"/>
            <w:noWrap w:val="0"/>
            <w:vAlign w:val="center"/>
          </w:tcPr>
          <w:p w14:paraId="4FFE141B">
            <w:pPr>
              <w:spacing w:line="32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1%</w:t>
            </w:r>
          </w:p>
        </w:tc>
        <w:tc>
          <w:tcPr>
            <w:tcW w:w="4025" w:type="dxa"/>
            <w:vMerge w:val="continue"/>
            <w:noWrap w:val="0"/>
            <w:vAlign w:val="center"/>
          </w:tcPr>
          <w:p w14:paraId="14CC26FB">
            <w:pPr>
              <w:spacing w:line="320" w:lineRule="exact"/>
              <w:jc w:val="center"/>
              <w:rPr>
                <w:rFonts w:hint="eastAsia" w:ascii="宋体" w:hAnsi="宋体" w:eastAsia="宋体" w:cs="宋体"/>
                <w:bCs/>
                <w:color w:val="000000"/>
                <w:sz w:val="24"/>
                <w:szCs w:val="24"/>
                <w:lang w:val="en-US" w:eastAsia="zh-CN"/>
              </w:rPr>
            </w:pPr>
          </w:p>
        </w:tc>
      </w:tr>
      <w:tr w14:paraId="2DE1F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2653" w:type="dxa"/>
            <w:noWrap w:val="0"/>
            <w:vAlign w:val="center"/>
          </w:tcPr>
          <w:p w14:paraId="6ED2EA27">
            <w:pPr>
              <w:adjustRightInd w:val="0"/>
              <w:snapToGrid w:val="0"/>
              <w:spacing w:line="400" w:lineRule="exact"/>
              <w:jc w:val="center"/>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sz w:val="24"/>
                <w:szCs w:val="24"/>
                <w:lang w:val="en-US" w:eastAsia="zh-CN"/>
              </w:rPr>
              <w:t>硫化氢</w:t>
            </w:r>
          </w:p>
        </w:tc>
        <w:tc>
          <w:tcPr>
            <w:tcW w:w="1822" w:type="dxa"/>
            <w:noWrap w:val="0"/>
            <w:vAlign w:val="center"/>
          </w:tcPr>
          <w:p w14:paraId="2231DC10">
            <w:pPr>
              <w:spacing w:line="320" w:lineRule="exact"/>
              <w:jc w:val="center"/>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sz w:val="24"/>
                <w:szCs w:val="24"/>
                <w:lang w:val="en-US" w:eastAsia="zh-CN"/>
              </w:rPr>
              <w:t>0.06mg/Nm</w:t>
            </w:r>
            <w:r>
              <w:rPr>
                <w:rFonts w:hint="eastAsia" w:ascii="宋体" w:hAnsi="宋体" w:eastAsia="宋体" w:cs="宋体"/>
                <w:bCs/>
                <w:color w:val="000000"/>
                <w:sz w:val="24"/>
                <w:szCs w:val="24"/>
                <w:vertAlign w:val="superscript"/>
                <w:lang w:val="en-US" w:eastAsia="zh-CN"/>
              </w:rPr>
              <w:t>3</w:t>
            </w:r>
          </w:p>
        </w:tc>
        <w:tc>
          <w:tcPr>
            <w:tcW w:w="4025" w:type="dxa"/>
            <w:vMerge w:val="continue"/>
            <w:noWrap w:val="0"/>
            <w:vAlign w:val="center"/>
          </w:tcPr>
          <w:p w14:paraId="51FB8D6C">
            <w:pPr>
              <w:spacing w:line="320" w:lineRule="exact"/>
              <w:jc w:val="center"/>
              <w:rPr>
                <w:rFonts w:hint="eastAsia" w:ascii="宋体" w:hAnsi="宋体" w:eastAsia="宋体" w:cs="宋体"/>
                <w:bCs/>
                <w:color w:val="000000"/>
                <w:sz w:val="24"/>
                <w:szCs w:val="24"/>
                <w:lang w:val="en-US" w:eastAsia="zh-CN"/>
              </w:rPr>
            </w:pPr>
          </w:p>
        </w:tc>
      </w:tr>
      <w:tr w14:paraId="72DFE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2653" w:type="dxa"/>
            <w:noWrap w:val="0"/>
            <w:vAlign w:val="center"/>
          </w:tcPr>
          <w:p w14:paraId="226FF572">
            <w:pPr>
              <w:adjustRightInd w:val="0"/>
              <w:snapToGrid w:val="0"/>
              <w:spacing w:line="400" w:lineRule="exact"/>
              <w:jc w:val="center"/>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sz w:val="24"/>
                <w:szCs w:val="24"/>
                <w:lang w:val="en-US" w:eastAsia="zh-CN"/>
              </w:rPr>
              <w:t>臭气浓度</w:t>
            </w:r>
          </w:p>
        </w:tc>
        <w:tc>
          <w:tcPr>
            <w:tcW w:w="1822" w:type="dxa"/>
            <w:noWrap w:val="0"/>
            <w:vAlign w:val="center"/>
          </w:tcPr>
          <w:p w14:paraId="14B10AF0">
            <w:pPr>
              <w:tabs>
                <w:tab w:val="left" w:pos="535"/>
              </w:tabs>
              <w:jc w:val="center"/>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sz w:val="24"/>
                <w:szCs w:val="24"/>
                <w:lang w:val="en-US" w:eastAsia="zh-CN"/>
              </w:rPr>
              <w:t>20</w:t>
            </w:r>
          </w:p>
        </w:tc>
        <w:tc>
          <w:tcPr>
            <w:tcW w:w="4025" w:type="dxa"/>
            <w:vMerge w:val="continue"/>
            <w:noWrap w:val="0"/>
            <w:vAlign w:val="center"/>
          </w:tcPr>
          <w:p w14:paraId="6D08218E">
            <w:pPr>
              <w:spacing w:line="320" w:lineRule="exact"/>
              <w:jc w:val="center"/>
              <w:rPr>
                <w:rFonts w:hint="eastAsia" w:ascii="宋体" w:hAnsi="宋体" w:eastAsia="宋体" w:cs="宋体"/>
                <w:bCs/>
                <w:color w:val="000000"/>
                <w:sz w:val="24"/>
                <w:szCs w:val="24"/>
                <w:lang w:val="en-US" w:eastAsia="zh-CN"/>
              </w:rPr>
            </w:pPr>
          </w:p>
        </w:tc>
      </w:tr>
      <w:tr w14:paraId="09CBC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8500" w:type="dxa"/>
            <w:gridSpan w:val="3"/>
            <w:noWrap w:val="0"/>
            <w:vAlign w:val="center"/>
          </w:tcPr>
          <w:p w14:paraId="0FE86AC4">
            <w:pPr>
              <w:adjustRightInd w:val="0"/>
              <w:snapToGrid w:val="0"/>
              <w:spacing w:line="400" w:lineRule="exact"/>
              <w:jc w:val="center"/>
              <w:rPr>
                <w:rFonts w:hint="default" w:ascii="宋体" w:hAnsi="宋体" w:eastAsia="宋体" w:cs="宋体"/>
                <w:b/>
                <w:bCs w:val="0"/>
                <w:color w:val="000000"/>
                <w:sz w:val="24"/>
                <w:szCs w:val="24"/>
                <w:lang w:val="en-US" w:eastAsia="zh-CN"/>
              </w:rPr>
            </w:pPr>
            <w:r>
              <w:rPr>
                <w:rFonts w:hint="eastAsia" w:ascii="宋体" w:hAnsi="宋体" w:eastAsia="宋体" w:cs="宋体"/>
                <w:b/>
                <w:bCs w:val="0"/>
                <w:color w:val="000000"/>
                <w:sz w:val="24"/>
                <w:szCs w:val="24"/>
                <w:lang w:val="en-US" w:eastAsia="zh-CN"/>
              </w:rPr>
              <w:t>恶臭气体排放口</w:t>
            </w:r>
          </w:p>
        </w:tc>
      </w:tr>
      <w:tr w14:paraId="0EFDB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653" w:type="dxa"/>
            <w:noWrap w:val="0"/>
            <w:vAlign w:val="center"/>
          </w:tcPr>
          <w:p w14:paraId="174F7F03">
            <w:pPr>
              <w:adjustRightInd w:val="0"/>
              <w:snapToGrid w:val="0"/>
              <w:spacing w:line="400" w:lineRule="exact"/>
              <w:jc w:val="center"/>
              <w:rPr>
                <w:rFonts w:hint="default" w:ascii="宋体" w:hAnsi="宋体" w:eastAsia="宋体" w:cs="宋体"/>
                <w:b w:val="0"/>
                <w:bCs/>
                <w:color w:val="000000"/>
                <w:sz w:val="24"/>
                <w:szCs w:val="24"/>
                <w:lang w:val="en-US" w:eastAsia="zh-CN"/>
              </w:rPr>
            </w:pPr>
            <w:r>
              <w:rPr>
                <w:rFonts w:hint="eastAsia" w:ascii="宋体" w:hAnsi="宋体" w:eastAsia="宋体" w:cs="宋体"/>
                <w:b w:val="0"/>
                <w:bCs/>
                <w:color w:val="000000"/>
                <w:sz w:val="24"/>
                <w:szCs w:val="24"/>
                <w:lang w:val="en-US" w:eastAsia="zh-CN"/>
              </w:rPr>
              <w:t>污染物</w:t>
            </w:r>
          </w:p>
        </w:tc>
        <w:tc>
          <w:tcPr>
            <w:tcW w:w="1822" w:type="dxa"/>
            <w:noWrap w:val="0"/>
            <w:vAlign w:val="center"/>
          </w:tcPr>
          <w:p w14:paraId="1FDE24C2">
            <w:pPr>
              <w:adjustRightInd w:val="0"/>
              <w:snapToGrid w:val="0"/>
              <w:spacing w:line="400" w:lineRule="exact"/>
              <w:jc w:val="center"/>
              <w:rPr>
                <w:rFonts w:hint="default" w:ascii="宋体" w:hAnsi="宋体" w:eastAsia="宋体" w:cs="宋体"/>
                <w:b w:val="0"/>
                <w:bCs/>
                <w:color w:val="000000"/>
                <w:sz w:val="24"/>
                <w:szCs w:val="24"/>
                <w:lang w:val="en-US" w:eastAsia="zh-CN"/>
              </w:rPr>
            </w:pPr>
            <w:r>
              <w:rPr>
                <w:rFonts w:hint="eastAsia" w:ascii="宋体" w:hAnsi="宋体" w:eastAsia="宋体" w:cs="宋体"/>
                <w:b w:val="0"/>
                <w:bCs/>
                <w:color w:val="000000"/>
                <w:sz w:val="24"/>
                <w:szCs w:val="24"/>
                <w:lang w:val="en-US" w:eastAsia="zh-CN"/>
              </w:rPr>
              <w:t>排放限值</w:t>
            </w:r>
          </w:p>
        </w:tc>
        <w:tc>
          <w:tcPr>
            <w:tcW w:w="4025" w:type="dxa"/>
            <w:noWrap w:val="0"/>
            <w:vAlign w:val="center"/>
          </w:tcPr>
          <w:p w14:paraId="25D11A39">
            <w:pPr>
              <w:adjustRightInd w:val="0"/>
              <w:snapToGrid w:val="0"/>
              <w:spacing w:line="400" w:lineRule="exact"/>
              <w:jc w:val="center"/>
              <w:rPr>
                <w:rFonts w:hint="default" w:ascii="宋体" w:hAnsi="宋体" w:eastAsia="宋体" w:cs="宋体"/>
                <w:b w:val="0"/>
                <w:bCs/>
                <w:color w:val="000000"/>
                <w:sz w:val="24"/>
                <w:szCs w:val="24"/>
                <w:lang w:val="en-US" w:eastAsia="zh-CN"/>
              </w:rPr>
            </w:pPr>
            <w:r>
              <w:rPr>
                <w:rFonts w:hint="eastAsia" w:ascii="宋体" w:hAnsi="宋体" w:eastAsia="宋体" w:cs="宋体"/>
                <w:b w:val="0"/>
                <w:bCs/>
                <w:color w:val="000000"/>
                <w:sz w:val="24"/>
                <w:szCs w:val="24"/>
                <w:lang w:val="en-US" w:eastAsia="zh-CN"/>
              </w:rPr>
              <w:t>排放执行标准</w:t>
            </w:r>
          </w:p>
        </w:tc>
      </w:tr>
      <w:tr w14:paraId="0386A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653" w:type="dxa"/>
            <w:noWrap w:val="0"/>
            <w:vAlign w:val="center"/>
          </w:tcPr>
          <w:p w14:paraId="78B452F1">
            <w:pPr>
              <w:adjustRightInd w:val="0"/>
              <w:snapToGrid w:val="0"/>
              <w:spacing w:line="400" w:lineRule="exact"/>
              <w:jc w:val="center"/>
              <w:rPr>
                <w:rFonts w:hint="default" w:ascii="宋体" w:hAnsi="宋体" w:eastAsia="宋体" w:cs="宋体"/>
                <w:b w:val="0"/>
                <w:bCs/>
                <w:color w:val="000000"/>
                <w:sz w:val="24"/>
                <w:szCs w:val="24"/>
                <w:lang w:val="en-US" w:eastAsia="zh-CN"/>
              </w:rPr>
            </w:pPr>
            <w:r>
              <w:rPr>
                <w:rFonts w:hint="eastAsia" w:ascii="宋体" w:hAnsi="宋体" w:eastAsia="宋体" w:cs="宋体"/>
                <w:b w:val="0"/>
                <w:bCs/>
                <w:color w:val="000000"/>
                <w:sz w:val="24"/>
                <w:szCs w:val="24"/>
                <w:lang w:val="en-US" w:eastAsia="zh-CN"/>
              </w:rPr>
              <w:t>硫化氢</w:t>
            </w:r>
          </w:p>
        </w:tc>
        <w:tc>
          <w:tcPr>
            <w:tcW w:w="1822" w:type="dxa"/>
            <w:noWrap w:val="0"/>
            <w:vAlign w:val="center"/>
          </w:tcPr>
          <w:p w14:paraId="53CEE691">
            <w:pPr>
              <w:adjustRightInd w:val="0"/>
              <w:snapToGrid w:val="0"/>
              <w:spacing w:line="400" w:lineRule="exact"/>
              <w:jc w:val="center"/>
              <w:rPr>
                <w:rFonts w:hint="default" w:ascii="宋体" w:hAnsi="宋体" w:eastAsia="宋体" w:cs="宋体"/>
                <w:b w:val="0"/>
                <w:bCs/>
                <w:color w:val="000000"/>
                <w:sz w:val="24"/>
                <w:szCs w:val="24"/>
                <w:lang w:val="en-US" w:eastAsia="zh-CN"/>
              </w:rPr>
            </w:pPr>
            <w:r>
              <w:rPr>
                <w:rFonts w:hint="eastAsia" w:ascii="宋体" w:hAnsi="宋体" w:eastAsia="宋体" w:cs="宋体"/>
                <w:b w:val="0"/>
                <w:bCs/>
                <w:color w:val="000000"/>
                <w:sz w:val="24"/>
                <w:szCs w:val="24"/>
                <w:lang w:val="en-US" w:eastAsia="zh-CN"/>
              </w:rPr>
              <w:t>0.33</w:t>
            </w:r>
            <w:r>
              <w:rPr>
                <w:rFonts w:hint="eastAsia" w:ascii="宋体" w:hAnsi="宋体" w:eastAsia="宋体" w:cs="宋体"/>
                <w:bCs/>
                <w:color w:val="000000"/>
                <w:sz w:val="24"/>
                <w:szCs w:val="24"/>
                <w:lang w:val="en-US" w:eastAsia="zh-CN"/>
              </w:rPr>
              <w:t>mg/Nm</w:t>
            </w:r>
            <w:r>
              <w:rPr>
                <w:rFonts w:hint="eastAsia" w:ascii="宋体" w:hAnsi="宋体" w:eastAsia="宋体" w:cs="宋体"/>
                <w:bCs/>
                <w:color w:val="000000"/>
                <w:sz w:val="24"/>
                <w:szCs w:val="24"/>
                <w:vertAlign w:val="superscript"/>
                <w:lang w:val="en-US" w:eastAsia="zh-CN"/>
              </w:rPr>
              <w:t>3</w:t>
            </w:r>
          </w:p>
        </w:tc>
        <w:tc>
          <w:tcPr>
            <w:tcW w:w="4025" w:type="dxa"/>
            <w:vMerge w:val="restart"/>
            <w:noWrap w:val="0"/>
            <w:vAlign w:val="center"/>
          </w:tcPr>
          <w:p w14:paraId="5304EEC0">
            <w:pPr>
              <w:adjustRightInd w:val="0"/>
              <w:snapToGrid w:val="0"/>
              <w:spacing w:line="400" w:lineRule="exact"/>
              <w:jc w:val="center"/>
              <w:rPr>
                <w:rFonts w:hint="default" w:ascii="宋体" w:hAnsi="宋体" w:eastAsia="宋体" w:cs="宋体"/>
                <w:b w:val="0"/>
                <w:bCs/>
                <w:color w:val="000000"/>
                <w:sz w:val="24"/>
                <w:szCs w:val="24"/>
                <w:lang w:val="en-US" w:eastAsia="zh-CN"/>
              </w:rPr>
            </w:pPr>
            <w:r>
              <w:rPr>
                <w:rFonts w:hint="eastAsia" w:ascii="宋体" w:hAnsi="宋体" w:eastAsia="宋体" w:cs="宋体"/>
                <w:b w:val="0"/>
                <w:bCs/>
                <w:color w:val="000000"/>
                <w:sz w:val="24"/>
                <w:szCs w:val="24"/>
                <w:lang w:val="en-US" w:eastAsia="zh-CN"/>
              </w:rPr>
              <w:t>恶臭污染物排放标准GB 14554-93/城镇污水处理厂污染物排放标准GB 18918-2002</w:t>
            </w:r>
          </w:p>
        </w:tc>
      </w:tr>
      <w:tr w14:paraId="27035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653" w:type="dxa"/>
            <w:noWrap w:val="0"/>
            <w:vAlign w:val="center"/>
          </w:tcPr>
          <w:p w14:paraId="4647B575">
            <w:pPr>
              <w:adjustRightInd w:val="0"/>
              <w:snapToGrid w:val="0"/>
              <w:spacing w:line="400" w:lineRule="exact"/>
              <w:jc w:val="center"/>
              <w:rPr>
                <w:rFonts w:hint="default" w:ascii="宋体" w:hAnsi="宋体" w:eastAsia="宋体" w:cs="宋体"/>
                <w:b w:val="0"/>
                <w:bCs/>
                <w:color w:val="000000"/>
                <w:sz w:val="24"/>
                <w:szCs w:val="24"/>
                <w:lang w:val="en-US" w:eastAsia="zh-CN"/>
              </w:rPr>
            </w:pPr>
            <w:r>
              <w:rPr>
                <w:rFonts w:hint="eastAsia" w:ascii="宋体" w:hAnsi="宋体" w:eastAsia="宋体" w:cs="宋体"/>
                <w:b w:val="0"/>
                <w:bCs/>
                <w:color w:val="000000"/>
                <w:sz w:val="24"/>
                <w:szCs w:val="24"/>
                <w:lang w:val="en-US" w:eastAsia="zh-CN"/>
              </w:rPr>
              <w:t>臭气浓度</w:t>
            </w:r>
          </w:p>
        </w:tc>
        <w:tc>
          <w:tcPr>
            <w:tcW w:w="1822" w:type="dxa"/>
            <w:noWrap w:val="0"/>
            <w:vAlign w:val="center"/>
          </w:tcPr>
          <w:p w14:paraId="5FF73A23">
            <w:pPr>
              <w:adjustRightInd w:val="0"/>
              <w:snapToGrid w:val="0"/>
              <w:spacing w:line="400" w:lineRule="exact"/>
              <w:jc w:val="center"/>
              <w:rPr>
                <w:rFonts w:hint="default" w:ascii="宋体" w:hAnsi="宋体" w:eastAsia="宋体" w:cs="宋体"/>
                <w:b w:val="0"/>
                <w:bCs/>
                <w:color w:val="000000"/>
                <w:sz w:val="24"/>
                <w:szCs w:val="24"/>
                <w:lang w:val="en-US" w:eastAsia="zh-CN"/>
              </w:rPr>
            </w:pPr>
            <w:r>
              <w:rPr>
                <w:rFonts w:hint="eastAsia" w:ascii="宋体" w:hAnsi="宋体" w:eastAsia="宋体" w:cs="宋体"/>
                <w:b w:val="0"/>
                <w:bCs/>
                <w:color w:val="000000"/>
                <w:sz w:val="24"/>
                <w:szCs w:val="24"/>
                <w:lang w:val="en-US" w:eastAsia="zh-CN"/>
              </w:rPr>
              <w:t>2000</w:t>
            </w:r>
          </w:p>
        </w:tc>
        <w:tc>
          <w:tcPr>
            <w:tcW w:w="4025" w:type="dxa"/>
            <w:vMerge w:val="continue"/>
            <w:noWrap w:val="0"/>
            <w:vAlign w:val="center"/>
          </w:tcPr>
          <w:p w14:paraId="027383A3">
            <w:pPr>
              <w:adjustRightInd w:val="0"/>
              <w:snapToGrid w:val="0"/>
              <w:spacing w:line="400" w:lineRule="exact"/>
              <w:jc w:val="center"/>
              <w:rPr>
                <w:rFonts w:hint="eastAsia" w:ascii="宋体" w:hAnsi="宋体" w:eastAsia="宋体" w:cs="宋体"/>
                <w:b/>
                <w:bCs w:val="0"/>
                <w:color w:val="000000"/>
                <w:sz w:val="24"/>
                <w:szCs w:val="24"/>
                <w:lang w:val="en-US" w:eastAsia="zh-CN"/>
              </w:rPr>
            </w:pPr>
          </w:p>
        </w:tc>
      </w:tr>
      <w:tr w14:paraId="236D0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653" w:type="dxa"/>
            <w:noWrap w:val="0"/>
            <w:vAlign w:val="center"/>
          </w:tcPr>
          <w:p w14:paraId="143BADD7">
            <w:pPr>
              <w:adjustRightInd w:val="0"/>
              <w:snapToGrid w:val="0"/>
              <w:spacing w:line="400" w:lineRule="exact"/>
              <w:jc w:val="center"/>
              <w:rPr>
                <w:rFonts w:hint="default" w:ascii="宋体" w:hAnsi="宋体" w:eastAsia="宋体" w:cs="宋体"/>
                <w:b w:val="0"/>
                <w:bCs/>
                <w:color w:val="000000"/>
                <w:sz w:val="24"/>
                <w:szCs w:val="24"/>
                <w:lang w:val="en-US" w:eastAsia="zh-CN"/>
              </w:rPr>
            </w:pPr>
            <w:r>
              <w:rPr>
                <w:rFonts w:hint="eastAsia" w:ascii="宋体" w:hAnsi="宋体" w:eastAsia="宋体" w:cs="宋体"/>
                <w:b w:val="0"/>
                <w:bCs/>
                <w:color w:val="000000"/>
                <w:sz w:val="24"/>
                <w:szCs w:val="24"/>
                <w:lang w:val="en-US" w:eastAsia="zh-CN"/>
              </w:rPr>
              <w:t>氨（氨气）</w:t>
            </w:r>
          </w:p>
        </w:tc>
        <w:tc>
          <w:tcPr>
            <w:tcW w:w="1822" w:type="dxa"/>
            <w:noWrap w:val="0"/>
            <w:vAlign w:val="center"/>
          </w:tcPr>
          <w:p w14:paraId="4BE5F668">
            <w:pPr>
              <w:adjustRightInd w:val="0"/>
              <w:snapToGrid w:val="0"/>
              <w:spacing w:line="400" w:lineRule="exact"/>
              <w:jc w:val="center"/>
              <w:rPr>
                <w:rFonts w:hint="default" w:ascii="宋体" w:hAnsi="宋体" w:eastAsia="宋体" w:cs="宋体"/>
                <w:b w:val="0"/>
                <w:bCs/>
                <w:color w:val="000000"/>
                <w:sz w:val="24"/>
                <w:szCs w:val="24"/>
                <w:lang w:val="en-US" w:eastAsia="zh-CN"/>
              </w:rPr>
            </w:pPr>
            <w:r>
              <w:rPr>
                <w:rFonts w:hint="eastAsia" w:ascii="宋体" w:hAnsi="宋体" w:eastAsia="宋体" w:cs="宋体"/>
                <w:b w:val="0"/>
                <w:bCs/>
                <w:color w:val="000000"/>
                <w:sz w:val="24"/>
                <w:szCs w:val="24"/>
                <w:lang w:val="en-US" w:eastAsia="zh-CN"/>
              </w:rPr>
              <w:t>4.9mg/Nm</w:t>
            </w:r>
            <w:r>
              <w:rPr>
                <w:rFonts w:hint="eastAsia" w:ascii="宋体" w:hAnsi="宋体" w:eastAsia="宋体" w:cs="宋体"/>
                <w:b w:val="0"/>
                <w:bCs/>
                <w:color w:val="000000"/>
                <w:sz w:val="24"/>
                <w:szCs w:val="24"/>
                <w:vertAlign w:val="superscript"/>
                <w:lang w:val="en-US" w:eastAsia="zh-CN"/>
              </w:rPr>
              <w:t>3</w:t>
            </w:r>
          </w:p>
        </w:tc>
        <w:tc>
          <w:tcPr>
            <w:tcW w:w="4025" w:type="dxa"/>
            <w:vMerge w:val="continue"/>
            <w:noWrap w:val="0"/>
            <w:vAlign w:val="center"/>
          </w:tcPr>
          <w:p w14:paraId="184EE1EE">
            <w:pPr>
              <w:adjustRightInd w:val="0"/>
              <w:snapToGrid w:val="0"/>
              <w:spacing w:line="400" w:lineRule="exact"/>
              <w:jc w:val="center"/>
              <w:rPr>
                <w:rFonts w:hint="eastAsia" w:ascii="宋体" w:hAnsi="宋体" w:eastAsia="宋体" w:cs="宋体"/>
                <w:b/>
                <w:bCs w:val="0"/>
                <w:color w:val="000000"/>
                <w:sz w:val="24"/>
                <w:szCs w:val="24"/>
                <w:lang w:val="en-US" w:eastAsia="zh-CN"/>
              </w:rPr>
            </w:pPr>
          </w:p>
        </w:tc>
      </w:tr>
      <w:tr w14:paraId="5CA9E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8500" w:type="dxa"/>
            <w:gridSpan w:val="3"/>
            <w:noWrap w:val="0"/>
            <w:vAlign w:val="center"/>
          </w:tcPr>
          <w:p w14:paraId="7C05CDD0">
            <w:pPr>
              <w:adjustRightInd w:val="0"/>
              <w:snapToGrid w:val="0"/>
              <w:spacing w:line="400" w:lineRule="exact"/>
              <w:jc w:val="center"/>
              <w:rPr>
                <w:rFonts w:hint="eastAsia" w:ascii="宋体" w:hAnsi="宋体" w:eastAsia="宋体" w:cs="宋体"/>
                <w:b/>
                <w:bCs w:val="0"/>
                <w:color w:val="000000"/>
                <w:sz w:val="24"/>
                <w:szCs w:val="24"/>
                <w:lang w:val="en-US" w:eastAsia="zh-CN"/>
              </w:rPr>
            </w:pPr>
            <w:r>
              <w:rPr>
                <w:rFonts w:hint="eastAsia" w:ascii="宋体" w:hAnsi="宋体" w:eastAsia="宋体" w:cs="宋体"/>
                <w:b/>
                <w:bCs w:val="0"/>
                <w:color w:val="000000"/>
                <w:sz w:val="24"/>
                <w:szCs w:val="24"/>
                <w:lang w:val="en-US" w:eastAsia="zh-CN"/>
              </w:rPr>
              <w:t>废水检测执行标准及限值</w:t>
            </w:r>
          </w:p>
        </w:tc>
      </w:tr>
      <w:tr w14:paraId="0C854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2653" w:type="dxa"/>
            <w:noWrap w:val="0"/>
            <w:vAlign w:val="center"/>
          </w:tcPr>
          <w:p w14:paraId="49CA9AEF">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污染物</w:t>
            </w:r>
          </w:p>
        </w:tc>
        <w:tc>
          <w:tcPr>
            <w:tcW w:w="1822" w:type="dxa"/>
            <w:noWrap w:val="0"/>
            <w:vAlign w:val="center"/>
          </w:tcPr>
          <w:p w14:paraId="4C9A692A">
            <w:pPr>
              <w:adjustRightInd w:val="0"/>
              <w:snapToGrid w:val="0"/>
              <w:spacing w:line="400" w:lineRule="exact"/>
              <w:jc w:val="center"/>
              <w:rPr>
                <w:rFonts w:hint="eastAsia" w:ascii="宋体" w:hAnsi="宋体" w:eastAsia="宋体" w:cs="宋体"/>
                <w:sz w:val="24"/>
                <w:szCs w:val="24"/>
                <w:vertAlign w:val="baseline"/>
                <w:lang w:val="en-US" w:eastAsia="zh-CN"/>
              </w:rPr>
            </w:pPr>
            <w:r>
              <w:rPr>
                <w:rFonts w:hint="eastAsia" w:ascii="宋体" w:hAnsi="宋体" w:eastAsia="宋体" w:cs="宋体"/>
                <w:bCs/>
                <w:color w:val="000000"/>
                <w:sz w:val="24"/>
                <w:szCs w:val="24"/>
                <w:lang w:val="en-US" w:eastAsia="zh-CN"/>
              </w:rPr>
              <w:t>排放限值</w:t>
            </w:r>
          </w:p>
        </w:tc>
        <w:tc>
          <w:tcPr>
            <w:tcW w:w="4025" w:type="dxa"/>
            <w:noWrap w:val="0"/>
            <w:vAlign w:val="center"/>
          </w:tcPr>
          <w:p w14:paraId="3C3A9600">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排放执行标准</w:t>
            </w:r>
          </w:p>
        </w:tc>
      </w:tr>
      <w:tr w14:paraId="6A5E9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2653" w:type="dxa"/>
            <w:noWrap w:val="0"/>
            <w:vAlign w:val="center"/>
          </w:tcPr>
          <w:p w14:paraId="6D335A98">
            <w:pPr>
              <w:adjustRightInd w:val="0"/>
              <w:snapToGrid w:val="0"/>
              <w:spacing w:line="400" w:lineRule="exact"/>
              <w:jc w:val="center"/>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pH</w:t>
            </w:r>
          </w:p>
        </w:tc>
        <w:tc>
          <w:tcPr>
            <w:tcW w:w="1822" w:type="dxa"/>
            <w:noWrap w:val="0"/>
            <w:vAlign w:val="center"/>
          </w:tcPr>
          <w:p w14:paraId="145464C8">
            <w:pPr>
              <w:tabs>
                <w:tab w:val="left" w:pos="535"/>
              </w:tabs>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6~9</w:t>
            </w:r>
          </w:p>
        </w:tc>
        <w:tc>
          <w:tcPr>
            <w:tcW w:w="4025" w:type="dxa"/>
            <w:vMerge w:val="restart"/>
            <w:noWrap w:val="0"/>
            <w:vAlign w:val="center"/>
          </w:tcPr>
          <w:p w14:paraId="71355655">
            <w:pPr>
              <w:spacing w:line="32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《城镇污水处理厂污染物排放标准》</w:t>
            </w:r>
          </w:p>
          <w:p w14:paraId="77DBFA0F">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（GB 18918-2002）标准同时满足排污许可证限值要求</w:t>
            </w:r>
          </w:p>
          <w:p w14:paraId="7BD86EDD">
            <w:pPr>
              <w:adjustRightInd w:val="0"/>
              <w:snapToGrid w:val="0"/>
              <w:spacing w:line="400" w:lineRule="exact"/>
              <w:jc w:val="center"/>
              <w:rPr>
                <w:rFonts w:hint="eastAsia" w:ascii="宋体" w:hAnsi="宋体" w:eastAsia="宋体" w:cs="宋体"/>
                <w:bCs/>
                <w:color w:val="000000"/>
                <w:sz w:val="24"/>
                <w:szCs w:val="24"/>
                <w:lang w:val="en-US" w:eastAsia="zh-CN"/>
              </w:rPr>
            </w:pPr>
          </w:p>
        </w:tc>
      </w:tr>
      <w:tr w14:paraId="400D9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2653" w:type="dxa"/>
            <w:noWrap w:val="0"/>
            <w:vAlign w:val="center"/>
          </w:tcPr>
          <w:p w14:paraId="303F7EE0">
            <w:pPr>
              <w:adjustRightInd w:val="0"/>
              <w:snapToGrid w:val="0"/>
              <w:spacing w:line="400" w:lineRule="exact"/>
              <w:jc w:val="center"/>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水温</w:t>
            </w:r>
          </w:p>
        </w:tc>
        <w:tc>
          <w:tcPr>
            <w:tcW w:w="1822" w:type="dxa"/>
            <w:noWrap w:val="0"/>
            <w:vAlign w:val="center"/>
          </w:tcPr>
          <w:p w14:paraId="58546B4D">
            <w:pPr>
              <w:tabs>
                <w:tab w:val="left" w:pos="535"/>
              </w:tabs>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w:t>
            </w:r>
          </w:p>
        </w:tc>
        <w:tc>
          <w:tcPr>
            <w:tcW w:w="4025" w:type="dxa"/>
            <w:vMerge w:val="continue"/>
            <w:noWrap w:val="0"/>
            <w:vAlign w:val="center"/>
          </w:tcPr>
          <w:p w14:paraId="4145E1FF">
            <w:pPr>
              <w:adjustRightInd w:val="0"/>
              <w:snapToGrid w:val="0"/>
              <w:spacing w:line="400" w:lineRule="exact"/>
              <w:jc w:val="center"/>
              <w:rPr>
                <w:rFonts w:hint="eastAsia" w:ascii="宋体" w:hAnsi="宋体" w:eastAsia="宋体" w:cs="宋体"/>
                <w:bCs/>
                <w:color w:val="000000"/>
                <w:sz w:val="24"/>
                <w:szCs w:val="24"/>
                <w:lang w:val="en-US" w:eastAsia="zh-CN"/>
              </w:rPr>
            </w:pPr>
          </w:p>
        </w:tc>
      </w:tr>
      <w:tr w14:paraId="47EED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2653" w:type="dxa"/>
            <w:noWrap w:val="0"/>
            <w:vAlign w:val="center"/>
          </w:tcPr>
          <w:p w14:paraId="085B18C1">
            <w:pPr>
              <w:adjustRightInd w:val="0"/>
              <w:snapToGrid w:val="0"/>
              <w:spacing w:line="400" w:lineRule="exact"/>
              <w:jc w:val="center"/>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流量</w:t>
            </w:r>
          </w:p>
        </w:tc>
        <w:tc>
          <w:tcPr>
            <w:tcW w:w="1822" w:type="dxa"/>
            <w:noWrap w:val="0"/>
            <w:vAlign w:val="center"/>
          </w:tcPr>
          <w:p w14:paraId="0578D2B5">
            <w:pPr>
              <w:tabs>
                <w:tab w:val="left" w:pos="535"/>
              </w:tabs>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w:t>
            </w:r>
          </w:p>
        </w:tc>
        <w:tc>
          <w:tcPr>
            <w:tcW w:w="4025" w:type="dxa"/>
            <w:vMerge w:val="continue"/>
            <w:noWrap w:val="0"/>
            <w:vAlign w:val="center"/>
          </w:tcPr>
          <w:p w14:paraId="21CAD0D6">
            <w:pPr>
              <w:adjustRightInd w:val="0"/>
              <w:snapToGrid w:val="0"/>
              <w:spacing w:line="400" w:lineRule="exact"/>
              <w:jc w:val="center"/>
              <w:rPr>
                <w:rFonts w:hint="eastAsia" w:ascii="宋体" w:hAnsi="宋体" w:eastAsia="宋体" w:cs="宋体"/>
                <w:bCs/>
                <w:color w:val="000000"/>
                <w:sz w:val="24"/>
                <w:szCs w:val="24"/>
                <w:lang w:val="en-US" w:eastAsia="zh-CN"/>
              </w:rPr>
            </w:pPr>
          </w:p>
        </w:tc>
      </w:tr>
      <w:tr w14:paraId="05B36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2653" w:type="dxa"/>
            <w:noWrap w:val="0"/>
            <w:vAlign w:val="center"/>
          </w:tcPr>
          <w:p w14:paraId="453FB5A7">
            <w:pPr>
              <w:adjustRightInd w:val="0"/>
              <w:snapToGrid w:val="0"/>
              <w:spacing w:line="400" w:lineRule="exact"/>
              <w:jc w:val="center"/>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化学需氧量</w:t>
            </w:r>
          </w:p>
        </w:tc>
        <w:tc>
          <w:tcPr>
            <w:tcW w:w="1822" w:type="dxa"/>
            <w:noWrap w:val="0"/>
            <w:vAlign w:val="center"/>
          </w:tcPr>
          <w:p w14:paraId="71B0DF03">
            <w:pPr>
              <w:tabs>
                <w:tab w:val="left" w:pos="535"/>
              </w:tabs>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50</w:t>
            </w:r>
            <w:r>
              <w:rPr>
                <w:rFonts w:hint="eastAsia" w:ascii="宋体" w:hAnsi="宋体" w:eastAsia="宋体" w:cs="宋体"/>
                <w:bCs/>
                <w:color w:val="auto"/>
                <w:sz w:val="24"/>
                <w:szCs w:val="24"/>
                <w:lang w:val="en-US" w:eastAsia="zh-CN"/>
              </w:rPr>
              <w:t>mg/L</w:t>
            </w:r>
          </w:p>
        </w:tc>
        <w:tc>
          <w:tcPr>
            <w:tcW w:w="4025" w:type="dxa"/>
            <w:vMerge w:val="continue"/>
            <w:noWrap w:val="0"/>
            <w:vAlign w:val="center"/>
          </w:tcPr>
          <w:p w14:paraId="332A5B7B">
            <w:pPr>
              <w:adjustRightInd w:val="0"/>
              <w:snapToGrid w:val="0"/>
              <w:spacing w:line="400" w:lineRule="exact"/>
              <w:jc w:val="center"/>
              <w:rPr>
                <w:rFonts w:hint="eastAsia" w:ascii="宋体" w:hAnsi="宋体" w:eastAsia="宋体" w:cs="宋体"/>
                <w:bCs/>
                <w:color w:val="000000"/>
                <w:sz w:val="24"/>
                <w:szCs w:val="24"/>
                <w:lang w:val="en-US" w:eastAsia="zh-CN"/>
              </w:rPr>
            </w:pPr>
          </w:p>
        </w:tc>
      </w:tr>
      <w:tr w14:paraId="5200D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2653" w:type="dxa"/>
            <w:noWrap w:val="0"/>
            <w:vAlign w:val="center"/>
          </w:tcPr>
          <w:p w14:paraId="2E55BBFC">
            <w:pPr>
              <w:adjustRightInd w:val="0"/>
              <w:snapToGrid w:val="0"/>
              <w:spacing w:line="400" w:lineRule="exact"/>
              <w:jc w:val="center"/>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氨氮</w:t>
            </w:r>
          </w:p>
        </w:tc>
        <w:tc>
          <w:tcPr>
            <w:tcW w:w="1822" w:type="dxa"/>
            <w:noWrap w:val="0"/>
            <w:vAlign w:val="center"/>
          </w:tcPr>
          <w:p w14:paraId="6BD7FB08">
            <w:pPr>
              <w:tabs>
                <w:tab w:val="left" w:pos="535"/>
              </w:tabs>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5</w:t>
            </w:r>
            <w:r>
              <w:rPr>
                <w:rFonts w:hint="eastAsia" w:ascii="宋体" w:hAnsi="宋体" w:eastAsia="宋体" w:cs="宋体"/>
                <w:bCs/>
                <w:color w:val="auto"/>
                <w:sz w:val="24"/>
                <w:szCs w:val="24"/>
                <w:lang w:val="en-US" w:eastAsia="zh-CN"/>
              </w:rPr>
              <w:t>mg/L</w:t>
            </w:r>
          </w:p>
        </w:tc>
        <w:tc>
          <w:tcPr>
            <w:tcW w:w="4025" w:type="dxa"/>
            <w:vMerge w:val="continue"/>
            <w:noWrap w:val="0"/>
            <w:vAlign w:val="center"/>
          </w:tcPr>
          <w:p w14:paraId="7A516D1E">
            <w:pPr>
              <w:adjustRightInd w:val="0"/>
              <w:snapToGrid w:val="0"/>
              <w:spacing w:line="400" w:lineRule="exact"/>
              <w:jc w:val="center"/>
              <w:rPr>
                <w:rFonts w:hint="eastAsia" w:ascii="宋体" w:hAnsi="宋体" w:eastAsia="宋体" w:cs="宋体"/>
                <w:bCs/>
                <w:color w:val="000000"/>
                <w:sz w:val="24"/>
                <w:szCs w:val="24"/>
                <w:lang w:val="en-US" w:eastAsia="zh-CN"/>
              </w:rPr>
            </w:pPr>
          </w:p>
        </w:tc>
      </w:tr>
      <w:tr w14:paraId="756A6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2653" w:type="dxa"/>
            <w:noWrap w:val="0"/>
            <w:vAlign w:val="center"/>
          </w:tcPr>
          <w:p w14:paraId="663249F3">
            <w:pPr>
              <w:adjustRightInd w:val="0"/>
              <w:snapToGrid w:val="0"/>
              <w:spacing w:line="400" w:lineRule="exact"/>
              <w:jc w:val="center"/>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悬浮物</w:t>
            </w:r>
          </w:p>
        </w:tc>
        <w:tc>
          <w:tcPr>
            <w:tcW w:w="1822" w:type="dxa"/>
            <w:noWrap w:val="0"/>
            <w:vAlign w:val="center"/>
          </w:tcPr>
          <w:p w14:paraId="7C82CEA7">
            <w:pPr>
              <w:tabs>
                <w:tab w:val="left" w:pos="535"/>
              </w:tabs>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10</w:t>
            </w:r>
            <w:r>
              <w:rPr>
                <w:rFonts w:hint="eastAsia" w:ascii="宋体" w:hAnsi="宋体" w:eastAsia="宋体" w:cs="宋体"/>
                <w:bCs/>
                <w:color w:val="auto"/>
                <w:sz w:val="24"/>
                <w:szCs w:val="24"/>
                <w:lang w:val="en-US" w:eastAsia="zh-CN"/>
              </w:rPr>
              <w:t>mg/L</w:t>
            </w:r>
          </w:p>
        </w:tc>
        <w:tc>
          <w:tcPr>
            <w:tcW w:w="4025" w:type="dxa"/>
            <w:vMerge w:val="continue"/>
            <w:noWrap w:val="0"/>
            <w:vAlign w:val="center"/>
          </w:tcPr>
          <w:p w14:paraId="7A1D6229">
            <w:pPr>
              <w:adjustRightInd w:val="0"/>
              <w:snapToGrid w:val="0"/>
              <w:spacing w:line="400" w:lineRule="exact"/>
              <w:jc w:val="center"/>
              <w:rPr>
                <w:rFonts w:hint="eastAsia" w:ascii="宋体" w:hAnsi="宋体" w:eastAsia="宋体" w:cs="宋体"/>
                <w:bCs/>
                <w:color w:val="000000"/>
                <w:sz w:val="24"/>
                <w:szCs w:val="24"/>
                <w:lang w:val="en-US" w:eastAsia="zh-CN"/>
              </w:rPr>
            </w:pPr>
          </w:p>
        </w:tc>
      </w:tr>
      <w:tr w14:paraId="1FE05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2653" w:type="dxa"/>
            <w:noWrap w:val="0"/>
            <w:vAlign w:val="center"/>
          </w:tcPr>
          <w:p w14:paraId="6E44C96D">
            <w:pPr>
              <w:adjustRightInd w:val="0"/>
              <w:snapToGrid w:val="0"/>
              <w:spacing w:line="400" w:lineRule="exact"/>
              <w:jc w:val="center"/>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总磷</w:t>
            </w:r>
          </w:p>
        </w:tc>
        <w:tc>
          <w:tcPr>
            <w:tcW w:w="1822" w:type="dxa"/>
            <w:noWrap w:val="0"/>
            <w:vAlign w:val="center"/>
          </w:tcPr>
          <w:p w14:paraId="4F5FFF83">
            <w:pPr>
              <w:tabs>
                <w:tab w:val="left" w:pos="535"/>
              </w:tabs>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0.5</w:t>
            </w:r>
            <w:r>
              <w:rPr>
                <w:rFonts w:hint="eastAsia" w:ascii="宋体" w:hAnsi="宋体" w:eastAsia="宋体" w:cs="宋体"/>
                <w:bCs/>
                <w:color w:val="auto"/>
                <w:sz w:val="24"/>
                <w:szCs w:val="24"/>
                <w:lang w:val="en-US" w:eastAsia="zh-CN"/>
              </w:rPr>
              <w:t>mg/L</w:t>
            </w:r>
          </w:p>
        </w:tc>
        <w:tc>
          <w:tcPr>
            <w:tcW w:w="4025" w:type="dxa"/>
            <w:vMerge w:val="continue"/>
            <w:noWrap w:val="0"/>
            <w:vAlign w:val="center"/>
          </w:tcPr>
          <w:p w14:paraId="33C33DC2">
            <w:pPr>
              <w:adjustRightInd w:val="0"/>
              <w:snapToGrid w:val="0"/>
              <w:spacing w:line="400" w:lineRule="exact"/>
              <w:jc w:val="center"/>
              <w:rPr>
                <w:rFonts w:hint="eastAsia" w:ascii="宋体" w:hAnsi="宋体" w:eastAsia="宋体" w:cs="宋体"/>
                <w:bCs/>
                <w:color w:val="000000"/>
                <w:sz w:val="24"/>
                <w:szCs w:val="24"/>
                <w:lang w:val="en-US" w:eastAsia="zh-CN"/>
              </w:rPr>
            </w:pPr>
          </w:p>
        </w:tc>
      </w:tr>
      <w:tr w14:paraId="52362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2653" w:type="dxa"/>
            <w:noWrap w:val="0"/>
            <w:vAlign w:val="center"/>
          </w:tcPr>
          <w:p w14:paraId="5F536A04">
            <w:pPr>
              <w:adjustRightInd w:val="0"/>
              <w:snapToGrid w:val="0"/>
              <w:spacing w:line="400" w:lineRule="exact"/>
              <w:jc w:val="center"/>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色度</w:t>
            </w:r>
          </w:p>
        </w:tc>
        <w:tc>
          <w:tcPr>
            <w:tcW w:w="1822" w:type="dxa"/>
            <w:noWrap w:val="0"/>
            <w:vAlign w:val="center"/>
          </w:tcPr>
          <w:p w14:paraId="7E4A86DF">
            <w:pPr>
              <w:tabs>
                <w:tab w:val="left" w:pos="535"/>
              </w:tabs>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30</w:t>
            </w:r>
          </w:p>
        </w:tc>
        <w:tc>
          <w:tcPr>
            <w:tcW w:w="4025" w:type="dxa"/>
            <w:vMerge w:val="continue"/>
            <w:noWrap w:val="0"/>
            <w:vAlign w:val="center"/>
          </w:tcPr>
          <w:p w14:paraId="0F88741B">
            <w:pPr>
              <w:adjustRightInd w:val="0"/>
              <w:snapToGrid w:val="0"/>
              <w:spacing w:line="400" w:lineRule="exact"/>
              <w:jc w:val="center"/>
              <w:rPr>
                <w:rFonts w:hint="eastAsia" w:ascii="宋体" w:hAnsi="宋体" w:eastAsia="宋体" w:cs="宋体"/>
                <w:bCs/>
                <w:color w:val="000000"/>
                <w:sz w:val="24"/>
                <w:szCs w:val="24"/>
                <w:lang w:val="en-US" w:eastAsia="zh-CN"/>
              </w:rPr>
            </w:pPr>
          </w:p>
        </w:tc>
      </w:tr>
      <w:tr w14:paraId="58E66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2653" w:type="dxa"/>
            <w:noWrap w:val="0"/>
            <w:vAlign w:val="center"/>
          </w:tcPr>
          <w:p w14:paraId="0BBF85AB">
            <w:pPr>
              <w:adjustRightInd w:val="0"/>
              <w:snapToGrid w:val="0"/>
              <w:spacing w:line="400" w:lineRule="exact"/>
              <w:jc w:val="center"/>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总氮</w:t>
            </w:r>
          </w:p>
        </w:tc>
        <w:tc>
          <w:tcPr>
            <w:tcW w:w="1822" w:type="dxa"/>
            <w:noWrap w:val="0"/>
            <w:vAlign w:val="center"/>
          </w:tcPr>
          <w:p w14:paraId="7C279BE5">
            <w:pPr>
              <w:tabs>
                <w:tab w:val="left" w:pos="535"/>
              </w:tabs>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10</w:t>
            </w:r>
            <w:r>
              <w:rPr>
                <w:rFonts w:hint="eastAsia" w:ascii="宋体" w:hAnsi="宋体" w:eastAsia="宋体" w:cs="宋体"/>
                <w:bCs/>
                <w:color w:val="auto"/>
                <w:sz w:val="24"/>
                <w:szCs w:val="24"/>
                <w:lang w:val="en-US" w:eastAsia="zh-CN"/>
              </w:rPr>
              <w:t>mg/L</w:t>
            </w:r>
          </w:p>
        </w:tc>
        <w:tc>
          <w:tcPr>
            <w:tcW w:w="4025" w:type="dxa"/>
            <w:vMerge w:val="continue"/>
            <w:noWrap w:val="0"/>
            <w:vAlign w:val="center"/>
          </w:tcPr>
          <w:p w14:paraId="21CCB95F">
            <w:pPr>
              <w:adjustRightInd w:val="0"/>
              <w:snapToGrid w:val="0"/>
              <w:spacing w:line="400" w:lineRule="exact"/>
              <w:jc w:val="center"/>
              <w:rPr>
                <w:rFonts w:hint="eastAsia" w:ascii="宋体" w:hAnsi="宋体" w:eastAsia="宋体" w:cs="宋体"/>
                <w:bCs/>
                <w:color w:val="000000"/>
                <w:sz w:val="24"/>
                <w:szCs w:val="24"/>
                <w:lang w:val="en-US" w:eastAsia="zh-CN"/>
              </w:rPr>
            </w:pPr>
          </w:p>
        </w:tc>
      </w:tr>
      <w:tr w14:paraId="53089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2653" w:type="dxa"/>
            <w:noWrap w:val="0"/>
            <w:vAlign w:val="center"/>
          </w:tcPr>
          <w:p w14:paraId="1D94B003">
            <w:pPr>
              <w:adjustRightInd w:val="0"/>
              <w:snapToGrid w:val="0"/>
              <w:spacing w:line="400" w:lineRule="exact"/>
              <w:jc w:val="center"/>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五日生化需氧量</w:t>
            </w:r>
          </w:p>
        </w:tc>
        <w:tc>
          <w:tcPr>
            <w:tcW w:w="1822" w:type="dxa"/>
            <w:noWrap w:val="0"/>
            <w:vAlign w:val="center"/>
          </w:tcPr>
          <w:p w14:paraId="024CFF4B">
            <w:pPr>
              <w:tabs>
                <w:tab w:val="left" w:pos="535"/>
              </w:tabs>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10</w:t>
            </w:r>
            <w:r>
              <w:rPr>
                <w:rFonts w:hint="eastAsia" w:ascii="宋体" w:hAnsi="宋体" w:eastAsia="宋体" w:cs="宋体"/>
                <w:bCs/>
                <w:color w:val="auto"/>
                <w:sz w:val="24"/>
                <w:szCs w:val="24"/>
                <w:lang w:val="en-US" w:eastAsia="zh-CN"/>
              </w:rPr>
              <w:t>mg/L</w:t>
            </w:r>
          </w:p>
        </w:tc>
        <w:tc>
          <w:tcPr>
            <w:tcW w:w="4025" w:type="dxa"/>
            <w:vMerge w:val="restart"/>
            <w:noWrap w:val="0"/>
            <w:vAlign w:val="center"/>
          </w:tcPr>
          <w:p w14:paraId="333B2C4E">
            <w:pPr>
              <w:spacing w:line="320" w:lineRule="exact"/>
              <w:jc w:val="both"/>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《城镇污水处理厂污染物排放标准》（GB 18918-2002）标准同时满足排污许可证限值要求</w:t>
            </w:r>
          </w:p>
          <w:p w14:paraId="688FEBF5">
            <w:pPr>
              <w:adjustRightInd w:val="0"/>
              <w:snapToGrid w:val="0"/>
              <w:spacing w:line="400" w:lineRule="exact"/>
              <w:jc w:val="center"/>
              <w:rPr>
                <w:rFonts w:hint="eastAsia" w:ascii="宋体" w:hAnsi="宋体" w:eastAsia="宋体" w:cs="宋体"/>
                <w:bCs/>
                <w:color w:val="000000"/>
                <w:sz w:val="24"/>
                <w:szCs w:val="24"/>
                <w:lang w:val="en-US" w:eastAsia="zh-CN"/>
              </w:rPr>
            </w:pPr>
          </w:p>
        </w:tc>
      </w:tr>
      <w:tr w14:paraId="526E2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2653" w:type="dxa"/>
            <w:noWrap w:val="0"/>
            <w:vAlign w:val="center"/>
          </w:tcPr>
          <w:p w14:paraId="02039525">
            <w:pPr>
              <w:adjustRightInd w:val="0"/>
              <w:snapToGrid w:val="0"/>
              <w:spacing w:line="400" w:lineRule="exact"/>
              <w:jc w:val="center"/>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阴离子表面活性剂</w:t>
            </w:r>
          </w:p>
        </w:tc>
        <w:tc>
          <w:tcPr>
            <w:tcW w:w="1822" w:type="dxa"/>
            <w:noWrap w:val="0"/>
            <w:vAlign w:val="center"/>
          </w:tcPr>
          <w:p w14:paraId="774B54EA">
            <w:pPr>
              <w:tabs>
                <w:tab w:val="left" w:pos="535"/>
              </w:tabs>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0.5</w:t>
            </w:r>
            <w:r>
              <w:rPr>
                <w:rFonts w:hint="eastAsia" w:ascii="宋体" w:hAnsi="宋体" w:eastAsia="宋体" w:cs="宋体"/>
                <w:bCs/>
                <w:color w:val="auto"/>
                <w:sz w:val="24"/>
                <w:szCs w:val="24"/>
                <w:lang w:val="en-US" w:eastAsia="zh-CN"/>
              </w:rPr>
              <w:t>mg/L</w:t>
            </w:r>
          </w:p>
        </w:tc>
        <w:tc>
          <w:tcPr>
            <w:tcW w:w="4025" w:type="dxa"/>
            <w:vMerge w:val="continue"/>
            <w:noWrap w:val="0"/>
            <w:vAlign w:val="center"/>
          </w:tcPr>
          <w:p w14:paraId="1CFACF0B">
            <w:pPr>
              <w:adjustRightInd w:val="0"/>
              <w:snapToGrid w:val="0"/>
              <w:spacing w:line="400" w:lineRule="exact"/>
              <w:jc w:val="center"/>
              <w:rPr>
                <w:rFonts w:hint="eastAsia" w:ascii="宋体" w:hAnsi="宋体" w:eastAsia="宋体" w:cs="宋体"/>
                <w:bCs/>
                <w:color w:val="000000"/>
                <w:sz w:val="24"/>
                <w:szCs w:val="24"/>
                <w:lang w:val="en-US" w:eastAsia="zh-CN"/>
              </w:rPr>
            </w:pPr>
          </w:p>
        </w:tc>
      </w:tr>
      <w:tr w14:paraId="71378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2653" w:type="dxa"/>
            <w:noWrap w:val="0"/>
            <w:vAlign w:val="center"/>
          </w:tcPr>
          <w:p w14:paraId="6ED29DBC">
            <w:pPr>
              <w:adjustRightInd w:val="0"/>
              <w:snapToGrid w:val="0"/>
              <w:spacing w:line="400" w:lineRule="exact"/>
              <w:jc w:val="center"/>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六价铬</w:t>
            </w:r>
          </w:p>
        </w:tc>
        <w:tc>
          <w:tcPr>
            <w:tcW w:w="1822" w:type="dxa"/>
            <w:noWrap w:val="0"/>
            <w:vAlign w:val="center"/>
          </w:tcPr>
          <w:p w14:paraId="7793216D">
            <w:pPr>
              <w:tabs>
                <w:tab w:val="left" w:pos="535"/>
              </w:tabs>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0.05</w:t>
            </w:r>
            <w:r>
              <w:rPr>
                <w:rFonts w:hint="eastAsia" w:ascii="宋体" w:hAnsi="宋体" w:eastAsia="宋体" w:cs="宋体"/>
                <w:bCs/>
                <w:color w:val="auto"/>
                <w:sz w:val="24"/>
                <w:szCs w:val="24"/>
                <w:lang w:val="en-US" w:eastAsia="zh-CN"/>
              </w:rPr>
              <w:t>mg/L</w:t>
            </w:r>
          </w:p>
        </w:tc>
        <w:tc>
          <w:tcPr>
            <w:tcW w:w="4025" w:type="dxa"/>
            <w:vMerge w:val="continue"/>
            <w:noWrap w:val="0"/>
            <w:vAlign w:val="center"/>
          </w:tcPr>
          <w:p w14:paraId="4D167CA4">
            <w:pPr>
              <w:adjustRightInd w:val="0"/>
              <w:snapToGrid w:val="0"/>
              <w:spacing w:line="400" w:lineRule="exact"/>
              <w:jc w:val="center"/>
              <w:rPr>
                <w:rFonts w:hint="eastAsia" w:ascii="宋体" w:hAnsi="宋体" w:eastAsia="宋体" w:cs="宋体"/>
                <w:bCs/>
                <w:color w:val="000000"/>
                <w:sz w:val="24"/>
                <w:szCs w:val="24"/>
                <w:lang w:val="en-US" w:eastAsia="zh-CN"/>
              </w:rPr>
            </w:pPr>
          </w:p>
        </w:tc>
      </w:tr>
      <w:tr w14:paraId="16943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2653" w:type="dxa"/>
            <w:noWrap w:val="0"/>
            <w:vAlign w:val="center"/>
          </w:tcPr>
          <w:p w14:paraId="6C6A38EE">
            <w:pPr>
              <w:adjustRightInd w:val="0"/>
              <w:snapToGrid w:val="0"/>
              <w:spacing w:line="400" w:lineRule="exact"/>
              <w:jc w:val="center"/>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动植物油</w:t>
            </w:r>
          </w:p>
        </w:tc>
        <w:tc>
          <w:tcPr>
            <w:tcW w:w="1822" w:type="dxa"/>
            <w:noWrap w:val="0"/>
            <w:vAlign w:val="center"/>
          </w:tcPr>
          <w:p w14:paraId="6C085C60">
            <w:pPr>
              <w:tabs>
                <w:tab w:val="left" w:pos="535"/>
              </w:tabs>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1</w:t>
            </w:r>
            <w:r>
              <w:rPr>
                <w:rFonts w:hint="eastAsia" w:ascii="宋体" w:hAnsi="宋体" w:eastAsia="宋体" w:cs="宋体"/>
                <w:bCs/>
                <w:color w:val="auto"/>
                <w:sz w:val="24"/>
                <w:szCs w:val="24"/>
                <w:lang w:val="en-US" w:eastAsia="zh-CN"/>
              </w:rPr>
              <w:t>mg/L</w:t>
            </w:r>
          </w:p>
        </w:tc>
        <w:tc>
          <w:tcPr>
            <w:tcW w:w="4025" w:type="dxa"/>
            <w:vMerge w:val="continue"/>
            <w:noWrap w:val="0"/>
            <w:vAlign w:val="center"/>
          </w:tcPr>
          <w:p w14:paraId="18920B46">
            <w:pPr>
              <w:adjustRightInd w:val="0"/>
              <w:snapToGrid w:val="0"/>
              <w:spacing w:line="400" w:lineRule="exact"/>
              <w:jc w:val="center"/>
              <w:rPr>
                <w:rFonts w:hint="eastAsia" w:ascii="宋体" w:hAnsi="宋体" w:eastAsia="宋体" w:cs="宋体"/>
                <w:bCs/>
                <w:color w:val="000000"/>
                <w:sz w:val="24"/>
                <w:szCs w:val="24"/>
                <w:lang w:val="en-US" w:eastAsia="zh-CN"/>
              </w:rPr>
            </w:pPr>
          </w:p>
        </w:tc>
      </w:tr>
      <w:tr w14:paraId="51FC8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2653" w:type="dxa"/>
            <w:noWrap w:val="0"/>
            <w:vAlign w:val="center"/>
          </w:tcPr>
          <w:p w14:paraId="68A99A2A">
            <w:pPr>
              <w:adjustRightInd w:val="0"/>
              <w:snapToGrid w:val="0"/>
              <w:spacing w:line="400" w:lineRule="exact"/>
              <w:jc w:val="center"/>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石油类</w:t>
            </w:r>
          </w:p>
        </w:tc>
        <w:tc>
          <w:tcPr>
            <w:tcW w:w="1822" w:type="dxa"/>
            <w:noWrap w:val="0"/>
            <w:vAlign w:val="center"/>
          </w:tcPr>
          <w:p w14:paraId="49371482">
            <w:pPr>
              <w:tabs>
                <w:tab w:val="left" w:pos="535"/>
              </w:tabs>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1</w:t>
            </w:r>
            <w:r>
              <w:rPr>
                <w:rFonts w:hint="eastAsia" w:ascii="宋体" w:hAnsi="宋体" w:eastAsia="宋体" w:cs="宋体"/>
                <w:bCs/>
                <w:color w:val="auto"/>
                <w:sz w:val="24"/>
                <w:szCs w:val="24"/>
                <w:lang w:val="en-US" w:eastAsia="zh-CN"/>
              </w:rPr>
              <w:t>mg/L</w:t>
            </w:r>
          </w:p>
        </w:tc>
        <w:tc>
          <w:tcPr>
            <w:tcW w:w="4025" w:type="dxa"/>
            <w:vMerge w:val="continue"/>
            <w:noWrap w:val="0"/>
            <w:vAlign w:val="center"/>
          </w:tcPr>
          <w:p w14:paraId="7CEEB8F2">
            <w:pPr>
              <w:adjustRightInd w:val="0"/>
              <w:snapToGrid w:val="0"/>
              <w:spacing w:line="400" w:lineRule="exact"/>
              <w:jc w:val="center"/>
              <w:rPr>
                <w:rFonts w:hint="eastAsia" w:ascii="宋体" w:hAnsi="宋体" w:eastAsia="宋体" w:cs="宋体"/>
                <w:bCs/>
                <w:color w:val="000000"/>
                <w:sz w:val="24"/>
                <w:szCs w:val="24"/>
                <w:lang w:val="en-US" w:eastAsia="zh-CN"/>
              </w:rPr>
            </w:pPr>
          </w:p>
        </w:tc>
      </w:tr>
      <w:tr w14:paraId="1A449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2653" w:type="dxa"/>
            <w:noWrap w:val="0"/>
            <w:vAlign w:val="center"/>
          </w:tcPr>
          <w:p w14:paraId="1FB0E630">
            <w:pPr>
              <w:adjustRightInd w:val="0"/>
              <w:snapToGrid w:val="0"/>
              <w:spacing w:line="400" w:lineRule="exact"/>
              <w:jc w:val="center"/>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粪大肠菌群</w:t>
            </w:r>
          </w:p>
        </w:tc>
        <w:tc>
          <w:tcPr>
            <w:tcW w:w="1822" w:type="dxa"/>
            <w:noWrap w:val="0"/>
            <w:vAlign w:val="center"/>
          </w:tcPr>
          <w:p w14:paraId="6A86B1F4">
            <w:pPr>
              <w:tabs>
                <w:tab w:val="left" w:pos="535"/>
              </w:tabs>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1000个/L</w:t>
            </w:r>
          </w:p>
        </w:tc>
        <w:tc>
          <w:tcPr>
            <w:tcW w:w="4025" w:type="dxa"/>
            <w:vMerge w:val="continue"/>
            <w:noWrap w:val="0"/>
            <w:vAlign w:val="center"/>
          </w:tcPr>
          <w:p w14:paraId="5C57AC74">
            <w:pPr>
              <w:adjustRightInd w:val="0"/>
              <w:snapToGrid w:val="0"/>
              <w:spacing w:line="400" w:lineRule="exact"/>
              <w:jc w:val="center"/>
              <w:rPr>
                <w:rFonts w:hint="eastAsia" w:ascii="宋体" w:hAnsi="宋体" w:eastAsia="宋体" w:cs="宋体"/>
                <w:bCs/>
                <w:color w:val="000000"/>
                <w:sz w:val="24"/>
                <w:szCs w:val="24"/>
                <w:lang w:val="en-US" w:eastAsia="zh-CN"/>
              </w:rPr>
            </w:pPr>
          </w:p>
        </w:tc>
      </w:tr>
      <w:tr w14:paraId="4C06E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2653" w:type="dxa"/>
            <w:noWrap w:val="0"/>
            <w:vAlign w:val="center"/>
          </w:tcPr>
          <w:p w14:paraId="2F66E573">
            <w:pPr>
              <w:adjustRightInd w:val="0"/>
              <w:snapToGrid w:val="0"/>
              <w:spacing w:line="400" w:lineRule="exact"/>
              <w:jc w:val="center"/>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总铬</w:t>
            </w:r>
          </w:p>
        </w:tc>
        <w:tc>
          <w:tcPr>
            <w:tcW w:w="1822" w:type="dxa"/>
            <w:noWrap w:val="0"/>
            <w:vAlign w:val="center"/>
          </w:tcPr>
          <w:p w14:paraId="06E09AB1">
            <w:pPr>
              <w:tabs>
                <w:tab w:val="left" w:pos="535"/>
              </w:tabs>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0.1</w:t>
            </w:r>
            <w:r>
              <w:rPr>
                <w:rFonts w:hint="eastAsia" w:ascii="宋体" w:hAnsi="宋体" w:eastAsia="宋体" w:cs="宋体"/>
                <w:bCs/>
                <w:color w:val="auto"/>
                <w:sz w:val="24"/>
                <w:szCs w:val="24"/>
                <w:lang w:val="en-US" w:eastAsia="zh-CN"/>
              </w:rPr>
              <w:t>mg/L</w:t>
            </w:r>
          </w:p>
        </w:tc>
        <w:tc>
          <w:tcPr>
            <w:tcW w:w="4025" w:type="dxa"/>
            <w:vMerge w:val="continue"/>
            <w:noWrap w:val="0"/>
            <w:vAlign w:val="center"/>
          </w:tcPr>
          <w:p w14:paraId="77CA372D">
            <w:pPr>
              <w:adjustRightInd w:val="0"/>
              <w:snapToGrid w:val="0"/>
              <w:spacing w:line="400" w:lineRule="exact"/>
              <w:jc w:val="center"/>
              <w:rPr>
                <w:rFonts w:hint="eastAsia" w:ascii="宋体" w:hAnsi="宋体" w:eastAsia="宋体" w:cs="宋体"/>
                <w:bCs/>
                <w:color w:val="000000"/>
                <w:sz w:val="24"/>
                <w:szCs w:val="24"/>
                <w:lang w:val="en-US" w:eastAsia="zh-CN"/>
              </w:rPr>
            </w:pPr>
          </w:p>
        </w:tc>
      </w:tr>
      <w:tr w14:paraId="76BCD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2653" w:type="dxa"/>
            <w:noWrap w:val="0"/>
            <w:vAlign w:val="center"/>
          </w:tcPr>
          <w:p w14:paraId="192C6211">
            <w:pPr>
              <w:adjustRightInd w:val="0"/>
              <w:snapToGrid w:val="0"/>
              <w:spacing w:line="400" w:lineRule="exact"/>
              <w:jc w:val="center"/>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总汞</w:t>
            </w:r>
          </w:p>
        </w:tc>
        <w:tc>
          <w:tcPr>
            <w:tcW w:w="1822" w:type="dxa"/>
            <w:noWrap w:val="0"/>
            <w:vAlign w:val="center"/>
          </w:tcPr>
          <w:p w14:paraId="5E35E72E">
            <w:pPr>
              <w:tabs>
                <w:tab w:val="left" w:pos="535"/>
              </w:tabs>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0.001</w:t>
            </w:r>
            <w:r>
              <w:rPr>
                <w:rFonts w:hint="eastAsia" w:ascii="宋体" w:hAnsi="宋体" w:eastAsia="宋体" w:cs="宋体"/>
                <w:bCs/>
                <w:color w:val="auto"/>
                <w:sz w:val="24"/>
                <w:szCs w:val="24"/>
                <w:lang w:val="en-US" w:eastAsia="zh-CN"/>
              </w:rPr>
              <w:t>mg/L</w:t>
            </w:r>
          </w:p>
        </w:tc>
        <w:tc>
          <w:tcPr>
            <w:tcW w:w="4025" w:type="dxa"/>
            <w:vMerge w:val="continue"/>
            <w:noWrap w:val="0"/>
            <w:vAlign w:val="center"/>
          </w:tcPr>
          <w:p w14:paraId="04B59D27">
            <w:pPr>
              <w:adjustRightInd w:val="0"/>
              <w:snapToGrid w:val="0"/>
              <w:spacing w:line="400" w:lineRule="exact"/>
              <w:jc w:val="center"/>
              <w:rPr>
                <w:rFonts w:hint="eastAsia" w:ascii="宋体" w:hAnsi="宋体" w:eastAsia="宋体" w:cs="宋体"/>
                <w:bCs/>
                <w:color w:val="000000"/>
                <w:sz w:val="24"/>
                <w:szCs w:val="24"/>
                <w:lang w:val="en-US" w:eastAsia="zh-CN"/>
              </w:rPr>
            </w:pPr>
          </w:p>
        </w:tc>
      </w:tr>
      <w:tr w14:paraId="0909F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2653" w:type="dxa"/>
            <w:noWrap w:val="0"/>
            <w:vAlign w:val="center"/>
          </w:tcPr>
          <w:p w14:paraId="7484EA19">
            <w:pPr>
              <w:adjustRightInd w:val="0"/>
              <w:snapToGrid w:val="0"/>
              <w:spacing w:line="400" w:lineRule="exact"/>
              <w:jc w:val="center"/>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总镉</w:t>
            </w:r>
          </w:p>
        </w:tc>
        <w:tc>
          <w:tcPr>
            <w:tcW w:w="1822" w:type="dxa"/>
            <w:noWrap w:val="0"/>
            <w:vAlign w:val="center"/>
          </w:tcPr>
          <w:p w14:paraId="5C592F95">
            <w:pPr>
              <w:tabs>
                <w:tab w:val="left" w:pos="535"/>
              </w:tabs>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0.01</w:t>
            </w:r>
            <w:r>
              <w:rPr>
                <w:rFonts w:hint="eastAsia" w:ascii="宋体" w:hAnsi="宋体" w:eastAsia="宋体" w:cs="宋体"/>
                <w:bCs/>
                <w:color w:val="auto"/>
                <w:sz w:val="24"/>
                <w:szCs w:val="24"/>
                <w:lang w:val="en-US" w:eastAsia="zh-CN"/>
              </w:rPr>
              <w:t>mg/L</w:t>
            </w:r>
          </w:p>
        </w:tc>
        <w:tc>
          <w:tcPr>
            <w:tcW w:w="4025" w:type="dxa"/>
            <w:vMerge w:val="continue"/>
            <w:noWrap w:val="0"/>
            <w:vAlign w:val="center"/>
          </w:tcPr>
          <w:p w14:paraId="7538B630">
            <w:pPr>
              <w:adjustRightInd w:val="0"/>
              <w:snapToGrid w:val="0"/>
              <w:spacing w:line="400" w:lineRule="exact"/>
              <w:jc w:val="center"/>
              <w:rPr>
                <w:rFonts w:hint="eastAsia" w:ascii="宋体" w:hAnsi="宋体" w:eastAsia="宋体" w:cs="宋体"/>
                <w:bCs/>
                <w:color w:val="000000"/>
                <w:sz w:val="24"/>
                <w:szCs w:val="24"/>
                <w:lang w:val="en-US" w:eastAsia="zh-CN"/>
              </w:rPr>
            </w:pPr>
          </w:p>
        </w:tc>
      </w:tr>
      <w:tr w14:paraId="320F5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2653" w:type="dxa"/>
            <w:noWrap w:val="0"/>
            <w:vAlign w:val="center"/>
          </w:tcPr>
          <w:p w14:paraId="6D245C91">
            <w:pPr>
              <w:adjustRightInd w:val="0"/>
              <w:snapToGrid w:val="0"/>
              <w:spacing w:line="400" w:lineRule="exact"/>
              <w:jc w:val="center"/>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总铅</w:t>
            </w:r>
          </w:p>
        </w:tc>
        <w:tc>
          <w:tcPr>
            <w:tcW w:w="1822" w:type="dxa"/>
            <w:noWrap w:val="0"/>
            <w:vAlign w:val="center"/>
          </w:tcPr>
          <w:p w14:paraId="05B11D82">
            <w:pPr>
              <w:tabs>
                <w:tab w:val="left" w:pos="535"/>
              </w:tabs>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0.1</w:t>
            </w:r>
            <w:r>
              <w:rPr>
                <w:rFonts w:hint="eastAsia" w:ascii="宋体" w:hAnsi="宋体" w:eastAsia="宋体" w:cs="宋体"/>
                <w:bCs/>
                <w:color w:val="auto"/>
                <w:sz w:val="24"/>
                <w:szCs w:val="24"/>
                <w:lang w:val="en-US" w:eastAsia="zh-CN"/>
              </w:rPr>
              <w:t>mg/L</w:t>
            </w:r>
          </w:p>
        </w:tc>
        <w:tc>
          <w:tcPr>
            <w:tcW w:w="4025" w:type="dxa"/>
            <w:vMerge w:val="continue"/>
            <w:noWrap w:val="0"/>
            <w:vAlign w:val="center"/>
          </w:tcPr>
          <w:p w14:paraId="785270E0">
            <w:pPr>
              <w:adjustRightInd w:val="0"/>
              <w:snapToGrid w:val="0"/>
              <w:spacing w:line="400" w:lineRule="exact"/>
              <w:jc w:val="center"/>
              <w:rPr>
                <w:rFonts w:hint="eastAsia" w:ascii="宋体" w:hAnsi="宋体" w:eastAsia="宋体" w:cs="宋体"/>
                <w:bCs/>
                <w:color w:val="000000"/>
                <w:sz w:val="24"/>
                <w:szCs w:val="24"/>
                <w:lang w:val="en-US" w:eastAsia="zh-CN"/>
              </w:rPr>
            </w:pPr>
          </w:p>
        </w:tc>
      </w:tr>
      <w:tr w14:paraId="13323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2653" w:type="dxa"/>
            <w:noWrap w:val="0"/>
            <w:vAlign w:val="center"/>
          </w:tcPr>
          <w:p w14:paraId="5B7EC44C">
            <w:pPr>
              <w:adjustRightInd w:val="0"/>
              <w:snapToGrid w:val="0"/>
              <w:spacing w:line="400" w:lineRule="exact"/>
              <w:jc w:val="center"/>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总砷</w:t>
            </w:r>
          </w:p>
        </w:tc>
        <w:tc>
          <w:tcPr>
            <w:tcW w:w="1822" w:type="dxa"/>
            <w:noWrap w:val="0"/>
            <w:vAlign w:val="center"/>
          </w:tcPr>
          <w:p w14:paraId="1596FB69">
            <w:pPr>
              <w:tabs>
                <w:tab w:val="left" w:pos="535"/>
              </w:tabs>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0.1</w:t>
            </w:r>
            <w:r>
              <w:rPr>
                <w:rFonts w:hint="eastAsia" w:ascii="宋体" w:hAnsi="宋体" w:eastAsia="宋体" w:cs="宋体"/>
                <w:bCs/>
                <w:color w:val="auto"/>
                <w:sz w:val="24"/>
                <w:szCs w:val="24"/>
                <w:lang w:val="en-US" w:eastAsia="zh-CN"/>
              </w:rPr>
              <w:t>mg/L</w:t>
            </w:r>
          </w:p>
        </w:tc>
        <w:tc>
          <w:tcPr>
            <w:tcW w:w="4025" w:type="dxa"/>
            <w:vMerge w:val="continue"/>
            <w:noWrap w:val="0"/>
            <w:vAlign w:val="center"/>
          </w:tcPr>
          <w:p w14:paraId="12AEB02C">
            <w:pPr>
              <w:adjustRightInd w:val="0"/>
              <w:snapToGrid w:val="0"/>
              <w:spacing w:line="400" w:lineRule="exact"/>
              <w:jc w:val="center"/>
              <w:rPr>
                <w:rFonts w:hint="eastAsia" w:ascii="宋体" w:hAnsi="宋体" w:eastAsia="宋体" w:cs="宋体"/>
                <w:bCs/>
                <w:color w:val="000000"/>
                <w:sz w:val="24"/>
                <w:szCs w:val="24"/>
                <w:lang w:val="en-US" w:eastAsia="zh-CN"/>
              </w:rPr>
            </w:pPr>
          </w:p>
        </w:tc>
      </w:tr>
      <w:tr w14:paraId="4E917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2653" w:type="dxa"/>
            <w:noWrap w:val="0"/>
            <w:vAlign w:val="center"/>
          </w:tcPr>
          <w:p w14:paraId="12E39ACF">
            <w:pPr>
              <w:adjustRightInd w:val="0"/>
              <w:snapToGrid w:val="0"/>
              <w:spacing w:line="400" w:lineRule="exact"/>
              <w:jc w:val="center"/>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烷基汞</w:t>
            </w:r>
          </w:p>
        </w:tc>
        <w:tc>
          <w:tcPr>
            <w:tcW w:w="1822" w:type="dxa"/>
            <w:noWrap w:val="0"/>
            <w:vAlign w:val="center"/>
          </w:tcPr>
          <w:p w14:paraId="3DDBD31C">
            <w:pPr>
              <w:tabs>
                <w:tab w:val="left" w:pos="535"/>
              </w:tabs>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0</w:t>
            </w:r>
            <w:r>
              <w:rPr>
                <w:rFonts w:hint="eastAsia" w:ascii="宋体" w:hAnsi="宋体" w:eastAsia="宋体" w:cs="宋体"/>
                <w:bCs/>
                <w:color w:val="auto"/>
                <w:sz w:val="24"/>
                <w:szCs w:val="24"/>
                <w:lang w:val="en-US" w:eastAsia="zh-CN"/>
              </w:rPr>
              <w:t>mg/L</w:t>
            </w:r>
          </w:p>
        </w:tc>
        <w:tc>
          <w:tcPr>
            <w:tcW w:w="4025" w:type="dxa"/>
            <w:vMerge w:val="continue"/>
            <w:noWrap w:val="0"/>
            <w:vAlign w:val="center"/>
          </w:tcPr>
          <w:p w14:paraId="68EBB9B8">
            <w:pPr>
              <w:adjustRightInd w:val="0"/>
              <w:snapToGrid w:val="0"/>
              <w:spacing w:line="400" w:lineRule="exact"/>
              <w:jc w:val="center"/>
              <w:rPr>
                <w:rFonts w:hint="eastAsia" w:ascii="宋体" w:hAnsi="宋体" w:eastAsia="宋体" w:cs="宋体"/>
                <w:bCs/>
                <w:color w:val="000000"/>
                <w:sz w:val="24"/>
                <w:szCs w:val="24"/>
                <w:lang w:val="en-US" w:eastAsia="zh-CN"/>
              </w:rPr>
            </w:pPr>
          </w:p>
        </w:tc>
      </w:tr>
      <w:tr w14:paraId="598C7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2653" w:type="dxa"/>
            <w:noWrap w:val="0"/>
            <w:vAlign w:val="center"/>
          </w:tcPr>
          <w:p w14:paraId="36D54EC0">
            <w:pPr>
              <w:adjustRightInd w:val="0"/>
              <w:snapToGrid w:val="0"/>
              <w:spacing w:line="400" w:lineRule="exact"/>
              <w:jc w:val="center"/>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含水率</w:t>
            </w:r>
          </w:p>
        </w:tc>
        <w:tc>
          <w:tcPr>
            <w:tcW w:w="1822" w:type="dxa"/>
            <w:noWrap w:val="0"/>
            <w:vAlign w:val="center"/>
          </w:tcPr>
          <w:p w14:paraId="0F9D67BF">
            <w:pPr>
              <w:tabs>
                <w:tab w:val="left" w:pos="535"/>
              </w:tabs>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w:t>
            </w:r>
          </w:p>
        </w:tc>
        <w:tc>
          <w:tcPr>
            <w:tcW w:w="4025" w:type="dxa"/>
            <w:noWrap w:val="0"/>
            <w:vAlign w:val="center"/>
          </w:tcPr>
          <w:p w14:paraId="34D02414">
            <w:pPr>
              <w:adjustRightInd w:val="0"/>
              <w:snapToGrid w:val="0"/>
              <w:spacing w:line="400" w:lineRule="exact"/>
              <w:jc w:val="center"/>
              <w:rPr>
                <w:rFonts w:hint="eastAsia" w:ascii="宋体" w:hAnsi="宋体" w:eastAsia="宋体" w:cs="宋体"/>
                <w:bCs/>
                <w:color w:val="000000"/>
                <w:sz w:val="24"/>
                <w:szCs w:val="24"/>
                <w:lang w:val="en-US" w:eastAsia="zh-CN"/>
              </w:rPr>
            </w:pPr>
          </w:p>
        </w:tc>
      </w:tr>
      <w:tr w14:paraId="3DFD6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2653" w:type="dxa"/>
            <w:noWrap w:val="0"/>
            <w:vAlign w:val="center"/>
          </w:tcPr>
          <w:p w14:paraId="0F38C5F7">
            <w:pPr>
              <w:adjustRightInd w:val="0"/>
              <w:snapToGrid w:val="0"/>
              <w:spacing w:line="400" w:lineRule="exact"/>
              <w:jc w:val="center"/>
              <w:rPr>
                <w:rFonts w:hint="eastAsia" w:ascii="宋体" w:hAnsi="宋体" w:eastAsia="宋体" w:cs="宋体"/>
                <w:bCs/>
                <w:color w:val="auto"/>
                <w:sz w:val="24"/>
                <w:szCs w:val="24"/>
                <w:lang w:val="en-US" w:eastAsia="zh-CN"/>
              </w:rPr>
            </w:pPr>
            <w:r>
              <w:rPr>
                <w:rFonts w:hint="eastAsia" w:ascii="宋体" w:hAnsi="宋体" w:eastAsia="宋体" w:cs="宋体"/>
                <w:bCs/>
                <w:color w:val="000000"/>
                <w:sz w:val="24"/>
                <w:szCs w:val="24"/>
                <w:lang w:val="en-US" w:eastAsia="zh-CN"/>
              </w:rPr>
              <w:t>有机物降解率</w:t>
            </w:r>
          </w:p>
        </w:tc>
        <w:tc>
          <w:tcPr>
            <w:tcW w:w="1822" w:type="dxa"/>
            <w:noWrap w:val="0"/>
            <w:vAlign w:val="center"/>
          </w:tcPr>
          <w:p w14:paraId="3DADE750">
            <w:pPr>
              <w:tabs>
                <w:tab w:val="left" w:pos="535"/>
              </w:tabs>
              <w:jc w:val="center"/>
              <w:rPr>
                <w:rFonts w:hint="default"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w:t>
            </w:r>
          </w:p>
        </w:tc>
        <w:tc>
          <w:tcPr>
            <w:tcW w:w="4025" w:type="dxa"/>
            <w:noWrap w:val="0"/>
            <w:vAlign w:val="center"/>
          </w:tcPr>
          <w:p w14:paraId="64C55DB3">
            <w:pPr>
              <w:adjustRightInd w:val="0"/>
              <w:snapToGrid w:val="0"/>
              <w:spacing w:line="400" w:lineRule="exact"/>
              <w:jc w:val="center"/>
              <w:rPr>
                <w:rFonts w:hint="eastAsia" w:ascii="宋体" w:hAnsi="宋体" w:eastAsia="宋体" w:cs="宋体"/>
                <w:bCs/>
                <w:color w:val="000000"/>
                <w:sz w:val="24"/>
                <w:szCs w:val="24"/>
                <w:lang w:val="en-US" w:eastAsia="zh-CN"/>
              </w:rPr>
            </w:pPr>
          </w:p>
        </w:tc>
      </w:tr>
      <w:tr w14:paraId="510D2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2653" w:type="dxa"/>
            <w:noWrap w:val="0"/>
            <w:vAlign w:val="center"/>
          </w:tcPr>
          <w:p w14:paraId="3698AD1C">
            <w:pPr>
              <w:adjustRightInd w:val="0"/>
              <w:snapToGrid w:val="0"/>
              <w:spacing w:line="400" w:lineRule="exact"/>
              <w:jc w:val="center"/>
              <w:rPr>
                <w:rFonts w:hint="eastAsia" w:ascii="宋体" w:hAnsi="宋体" w:eastAsia="宋体" w:cs="宋体"/>
                <w:bCs/>
                <w:color w:val="auto"/>
                <w:sz w:val="24"/>
                <w:szCs w:val="24"/>
                <w:lang w:val="en-US" w:eastAsia="zh-CN"/>
              </w:rPr>
            </w:pPr>
            <w:r>
              <w:rPr>
                <w:rFonts w:hint="eastAsia" w:ascii="宋体" w:hAnsi="宋体" w:eastAsia="宋体" w:cs="宋体"/>
                <w:bCs/>
                <w:color w:val="000000"/>
                <w:sz w:val="24"/>
                <w:szCs w:val="24"/>
                <w:lang w:val="en-US" w:eastAsia="zh-CN"/>
              </w:rPr>
              <w:t>蠕虫卵死亡率</w:t>
            </w:r>
          </w:p>
        </w:tc>
        <w:tc>
          <w:tcPr>
            <w:tcW w:w="1822" w:type="dxa"/>
            <w:noWrap w:val="0"/>
            <w:vAlign w:val="center"/>
          </w:tcPr>
          <w:p w14:paraId="7E81025B">
            <w:pPr>
              <w:tabs>
                <w:tab w:val="left" w:pos="535"/>
              </w:tabs>
              <w:jc w:val="center"/>
              <w:rPr>
                <w:rFonts w:hint="default"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w:t>
            </w:r>
          </w:p>
        </w:tc>
        <w:tc>
          <w:tcPr>
            <w:tcW w:w="4025" w:type="dxa"/>
            <w:noWrap w:val="0"/>
            <w:vAlign w:val="center"/>
          </w:tcPr>
          <w:p w14:paraId="10A8BA7A">
            <w:pPr>
              <w:adjustRightInd w:val="0"/>
              <w:snapToGrid w:val="0"/>
              <w:spacing w:line="400" w:lineRule="exact"/>
              <w:jc w:val="center"/>
              <w:rPr>
                <w:rFonts w:hint="eastAsia" w:ascii="宋体" w:hAnsi="宋体" w:eastAsia="宋体" w:cs="宋体"/>
                <w:bCs/>
                <w:color w:val="000000"/>
                <w:sz w:val="24"/>
                <w:szCs w:val="24"/>
                <w:lang w:val="en-US" w:eastAsia="zh-CN"/>
              </w:rPr>
            </w:pPr>
          </w:p>
        </w:tc>
      </w:tr>
      <w:tr w14:paraId="53BA4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2653" w:type="dxa"/>
            <w:noWrap w:val="0"/>
            <w:vAlign w:val="center"/>
          </w:tcPr>
          <w:p w14:paraId="24EE46A5">
            <w:pPr>
              <w:adjustRightInd w:val="0"/>
              <w:snapToGrid w:val="0"/>
              <w:spacing w:line="400" w:lineRule="exact"/>
              <w:jc w:val="center"/>
              <w:rPr>
                <w:rFonts w:hint="eastAsia" w:ascii="宋体" w:hAnsi="宋体" w:eastAsia="宋体" w:cs="宋体"/>
                <w:bCs/>
                <w:color w:val="auto"/>
                <w:sz w:val="24"/>
                <w:szCs w:val="24"/>
                <w:lang w:val="en-US" w:eastAsia="zh-CN"/>
              </w:rPr>
            </w:pPr>
            <w:r>
              <w:rPr>
                <w:rFonts w:hint="eastAsia" w:ascii="宋体" w:hAnsi="宋体" w:eastAsia="宋体" w:cs="宋体"/>
                <w:bCs/>
                <w:color w:val="000000"/>
                <w:sz w:val="24"/>
                <w:szCs w:val="24"/>
                <w:lang w:val="en-US" w:eastAsia="zh-CN"/>
              </w:rPr>
              <w:t>粪大肠菌群菌值</w:t>
            </w:r>
          </w:p>
        </w:tc>
        <w:tc>
          <w:tcPr>
            <w:tcW w:w="1822" w:type="dxa"/>
            <w:noWrap w:val="0"/>
            <w:vAlign w:val="center"/>
          </w:tcPr>
          <w:p w14:paraId="17A43B1F">
            <w:pPr>
              <w:tabs>
                <w:tab w:val="left" w:pos="535"/>
              </w:tabs>
              <w:jc w:val="center"/>
              <w:rPr>
                <w:rFonts w:hint="default"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w:t>
            </w:r>
          </w:p>
        </w:tc>
        <w:tc>
          <w:tcPr>
            <w:tcW w:w="4025" w:type="dxa"/>
            <w:noWrap w:val="0"/>
            <w:vAlign w:val="center"/>
          </w:tcPr>
          <w:p w14:paraId="3C2B8421">
            <w:pPr>
              <w:adjustRightInd w:val="0"/>
              <w:snapToGrid w:val="0"/>
              <w:spacing w:line="400" w:lineRule="exact"/>
              <w:jc w:val="center"/>
              <w:rPr>
                <w:rFonts w:hint="eastAsia" w:ascii="宋体" w:hAnsi="宋体" w:eastAsia="宋体" w:cs="宋体"/>
                <w:bCs/>
                <w:color w:val="000000"/>
                <w:sz w:val="24"/>
                <w:szCs w:val="24"/>
                <w:lang w:val="en-US" w:eastAsia="zh-CN"/>
              </w:rPr>
            </w:pPr>
          </w:p>
        </w:tc>
      </w:tr>
    </w:tbl>
    <w:p w14:paraId="57C631DE">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五、监测内容</w:t>
      </w:r>
    </w:p>
    <w:p w14:paraId="3C7DEB5F">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1、监测点位</w:t>
      </w:r>
    </w:p>
    <w:tbl>
      <w:tblPr>
        <w:tblStyle w:val="7"/>
        <w:tblW w:w="85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67"/>
        <w:gridCol w:w="5859"/>
      </w:tblGrid>
      <w:tr w14:paraId="0E87D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2667" w:type="dxa"/>
            <w:noWrap w:val="0"/>
            <w:vAlign w:val="center"/>
          </w:tcPr>
          <w:p w14:paraId="1FB9B959">
            <w:pPr>
              <w:spacing w:line="320" w:lineRule="exact"/>
              <w:jc w:val="center"/>
              <w:rPr>
                <w:rFonts w:hint="eastAsia" w:ascii="宋体" w:hAnsi="宋体" w:eastAsia="宋体" w:cs="宋体"/>
                <w:b/>
                <w:bCs w:val="0"/>
                <w:sz w:val="24"/>
                <w:szCs w:val="24"/>
                <w:vertAlign w:val="baseline"/>
              </w:rPr>
            </w:pPr>
            <w:r>
              <w:rPr>
                <w:rFonts w:hint="eastAsia" w:ascii="宋体" w:hAnsi="宋体" w:eastAsia="宋体" w:cs="宋体"/>
                <w:b/>
                <w:bCs w:val="0"/>
                <w:color w:val="000000"/>
                <w:sz w:val="24"/>
                <w:szCs w:val="24"/>
                <w:lang w:val="en-US" w:eastAsia="zh-CN"/>
              </w:rPr>
              <w:t>监</w:t>
            </w:r>
            <w:r>
              <w:rPr>
                <w:rFonts w:hint="eastAsia" w:ascii="宋体" w:hAnsi="宋体" w:eastAsia="宋体" w:cs="宋体"/>
                <w:b/>
                <w:bCs w:val="0"/>
                <w:color w:val="000000"/>
                <w:sz w:val="24"/>
                <w:szCs w:val="24"/>
                <w:lang w:eastAsia="zh-CN"/>
              </w:rPr>
              <w:t>测点位</w:t>
            </w:r>
          </w:p>
        </w:tc>
        <w:tc>
          <w:tcPr>
            <w:tcW w:w="5859" w:type="dxa"/>
            <w:noWrap w:val="0"/>
            <w:vAlign w:val="center"/>
          </w:tcPr>
          <w:p w14:paraId="20D40BCF">
            <w:pPr>
              <w:spacing w:line="320" w:lineRule="exact"/>
              <w:jc w:val="center"/>
              <w:rPr>
                <w:rFonts w:hint="eastAsia" w:ascii="宋体" w:hAnsi="宋体" w:eastAsia="宋体" w:cs="宋体"/>
                <w:b/>
                <w:bCs w:val="0"/>
                <w:sz w:val="24"/>
                <w:szCs w:val="24"/>
                <w:vertAlign w:val="baseline"/>
              </w:rPr>
            </w:pPr>
            <w:r>
              <w:rPr>
                <w:rFonts w:hint="eastAsia" w:ascii="宋体" w:hAnsi="宋体" w:eastAsia="宋体" w:cs="宋体"/>
                <w:b/>
                <w:bCs w:val="0"/>
                <w:color w:val="000000"/>
                <w:sz w:val="24"/>
                <w:szCs w:val="24"/>
                <w:lang w:val="en-US" w:eastAsia="zh-CN"/>
              </w:rPr>
              <w:t>监</w:t>
            </w:r>
            <w:r>
              <w:rPr>
                <w:rFonts w:hint="eastAsia" w:ascii="宋体" w:hAnsi="宋体" w:eastAsia="宋体" w:cs="宋体"/>
                <w:b/>
                <w:bCs w:val="0"/>
                <w:color w:val="000000"/>
                <w:sz w:val="24"/>
                <w:szCs w:val="24"/>
                <w:lang w:eastAsia="zh-CN"/>
              </w:rPr>
              <w:t>测因子</w:t>
            </w:r>
          </w:p>
        </w:tc>
      </w:tr>
      <w:tr w14:paraId="05916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2667" w:type="dxa"/>
            <w:vMerge w:val="restart"/>
            <w:noWrap w:val="0"/>
            <w:vAlign w:val="center"/>
          </w:tcPr>
          <w:p w14:paraId="4B027915">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厂界外上风向一个点位，下风向三个点位</w:t>
            </w:r>
          </w:p>
        </w:tc>
        <w:tc>
          <w:tcPr>
            <w:tcW w:w="5859" w:type="dxa"/>
            <w:noWrap w:val="0"/>
            <w:vAlign w:val="center"/>
          </w:tcPr>
          <w:p w14:paraId="7614E8BC">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氨气、硫化氢、臭气浓度</w:t>
            </w:r>
          </w:p>
        </w:tc>
      </w:tr>
      <w:tr w14:paraId="0F8ED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2667" w:type="dxa"/>
            <w:vMerge w:val="continue"/>
            <w:noWrap w:val="0"/>
            <w:vAlign w:val="center"/>
          </w:tcPr>
          <w:p w14:paraId="01639CFE">
            <w:pPr>
              <w:adjustRightInd w:val="0"/>
              <w:snapToGrid w:val="0"/>
              <w:spacing w:line="400" w:lineRule="exact"/>
              <w:jc w:val="center"/>
              <w:rPr>
                <w:rFonts w:hint="eastAsia" w:ascii="宋体" w:hAnsi="宋体" w:eastAsia="宋体" w:cs="宋体"/>
                <w:bCs/>
                <w:color w:val="000000"/>
                <w:sz w:val="24"/>
                <w:szCs w:val="24"/>
                <w:lang w:val="en-US" w:eastAsia="zh-CN"/>
              </w:rPr>
            </w:pPr>
          </w:p>
        </w:tc>
        <w:tc>
          <w:tcPr>
            <w:tcW w:w="5859" w:type="dxa"/>
            <w:noWrap w:val="0"/>
            <w:vAlign w:val="center"/>
          </w:tcPr>
          <w:p w14:paraId="111E7526">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甲烷</w:t>
            </w:r>
          </w:p>
        </w:tc>
      </w:tr>
      <w:tr w14:paraId="4D5CF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2667" w:type="dxa"/>
            <w:noWrap w:val="0"/>
            <w:vAlign w:val="center"/>
          </w:tcPr>
          <w:p w14:paraId="61A71A87">
            <w:pPr>
              <w:adjustRightInd w:val="0"/>
              <w:snapToGrid w:val="0"/>
              <w:spacing w:line="400" w:lineRule="exact"/>
              <w:jc w:val="center"/>
              <w:rPr>
                <w:rFonts w:hint="default"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恶臭气体排放口</w:t>
            </w:r>
          </w:p>
        </w:tc>
        <w:tc>
          <w:tcPr>
            <w:tcW w:w="5859" w:type="dxa"/>
            <w:noWrap w:val="0"/>
            <w:vAlign w:val="center"/>
          </w:tcPr>
          <w:p w14:paraId="4663D8C3">
            <w:pPr>
              <w:adjustRightInd w:val="0"/>
              <w:snapToGrid w:val="0"/>
              <w:spacing w:line="400" w:lineRule="exact"/>
              <w:jc w:val="center"/>
              <w:rPr>
                <w:rFonts w:hint="default"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臭气浓度、氨气、硫化氢</w:t>
            </w:r>
          </w:p>
        </w:tc>
      </w:tr>
      <w:tr w14:paraId="5CBF9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667" w:type="dxa"/>
            <w:vMerge w:val="restart"/>
            <w:noWrap w:val="0"/>
            <w:vAlign w:val="center"/>
          </w:tcPr>
          <w:p w14:paraId="08DDBA86">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厂区总排口</w:t>
            </w:r>
          </w:p>
        </w:tc>
        <w:tc>
          <w:tcPr>
            <w:tcW w:w="5859" w:type="dxa"/>
            <w:noWrap w:val="0"/>
            <w:vAlign w:val="center"/>
          </w:tcPr>
          <w:p w14:paraId="14805087">
            <w:pPr>
              <w:adjustRightInd w:val="0"/>
              <w:snapToGrid w:val="0"/>
              <w:spacing w:line="400" w:lineRule="exact"/>
              <w:jc w:val="center"/>
              <w:rPr>
                <w:rFonts w:hint="default"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PH</w:t>
            </w:r>
          </w:p>
        </w:tc>
      </w:tr>
      <w:tr w14:paraId="35E61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667" w:type="dxa"/>
            <w:vMerge w:val="continue"/>
            <w:noWrap w:val="0"/>
            <w:vAlign w:val="center"/>
          </w:tcPr>
          <w:p w14:paraId="43E4ACAC">
            <w:pPr>
              <w:adjustRightInd w:val="0"/>
              <w:snapToGrid w:val="0"/>
              <w:spacing w:line="400" w:lineRule="exact"/>
              <w:jc w:val="center"/>
              <w:rPr>
                <w:rFonts w:hint="eastAsia" w:ascii="宋体" w:hAnsi="宋体" w:eastAsia="宋体" w:cs="宋体"/>
                <w:bCs/>
                <w:color w:val="000000"/>
                <w:sz w:val="24"/>
                <w:szCs w:val="24"/>
                <w:lang w:val="en-US" w:eastAsia="zh-CN"/>
              </w:rPr>
            </w:pPr>
          </w:p>
        </w:tc>
        <w:tc>
          <w:tcPr>
            <w:tcW w:w="5859" w:type="dxa"/>
            <w:noWrap w:val="0"/>
            <w:vAlign w:val="center"/>
          </w:tcPr>
          <w:p w14:paraId="70E806C3">
            <w:pPr>
              <w:adjustRightInd w:val="0"/>
              <w:snapToGrid w:val="0"/>
              <w:spacing w:line="400" w:lineRule="exact"/>
              <w:jc w:val="both"/>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石油类、五日生化需氧量、悬浮物、动植物油、粪大肠菌群、色度、阴离子表面活性剂</w:t>
            </w:r>
          </w:p>
        </w:tc>
      </w:tr>
      <w:tr w14:paraId="150AA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667" w:type="dxa"/>
            <w:vMerge w:val="continue"/>
            <w:noWrap w:val="0"/>
            <w:vAlign w:val="center"/>
          </w:tcPr>
          <w:p w14:paraId="0BD05619">
            <w:pPr>
              <w:adjustRightInd w:val="0"/>
              <w:snapToGrid w:val="0"/>
              <w:spacing w:line="400" w:lineRule="exact"/>
              <w:jc w:val="center"/>
              <w:rPr>
                <w:rFonts w:hint="eastAsia" w:ascii="宋体" w:hAnsi="宋体" w:eastAsia="宋体" w:cs="宋体"/>
                <w:bCs/>
                <w:color w:val="000000"/>
                <w:sz w:val="24"/>
                <w:szCs w:val="24"/>
                <w:lang w:val="en-US" w:eastAsia="zh-CN"/>
              </w:rPr>
            </w:pPr>
          </w:p>
        </w:tc>
        <w:tc>
          <w:tcPr>
            <w:tcW w:w="5859" w:type="dxa"/>
            <w:noWrap w:val="0"/>
            <w:vAlign w:val="center"/>
          </w:tcPr>
          <w:p w14:paraId="496FB908">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总磷、氨氮、流量、化学需氧量、总氮、总铬、总镉、总砷、总汞、总铅、六价铬</w:t>
            </w:r>
          </w:p>
        </w:tc>
      </w:tr>
      <w:tr w14:paraId="0CF75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rPr>
        <w:tc>
          <w:tcPr>
            <w:tcW w:w="2667" w:type="dxa"/>
            <w:vMerge w:val="continue"/>
            <w:noWrap w:val="0"/>
            <w:vAlign w:val="center"/>
          </w:tcPr>
          <w:p w14:paraId="0F4C9917">
            <w:pPr>
              <w:adjustRightInd w:val="0"/>
              <w:snapToGrid w:val="0"/>
              <w:spacing w:line="400" w:lineRule="exact"/>
              <w:jc w:val="center"/>
              <w:rPr>
                <w:rFonts w:hint="eastAsia" w:ascii="宋体" w:hAnsi="宋体" w:eastAsia="宋体" w:cs="宋体"/>
                <w:bCs/>
                <w:color w:val="000000"/>
                <w:sz w:val="24"/>
                <w:szCs w:val="24"/>
                <w:lang w:val="en-US" w:eastAsia="zh-CN"/>
              </w:rPr>
            </w:pPr>
          </w:p>
        </w:tc>
        <w:tc>
          <w:tcPr>
            <w:tcW w:w="5859" w:type="dxa"/>
            <w:noWrap w:val="0"/>
            <w:vAlign w:val="center"/>
          </w:tcPr>
          <w:p w14:paraId="28CC7E8F">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烷基汞</w:t>
            </w:r>
          </w:p>
        </w:tc>
      </w:tr>
      <w:tr w14:paraId="48E46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2667" w:type="dxa"/>
            <w:vMerge w:val="restart"/>
            <w:noWrap w:val="0"/>
            <w:vAlign w:val="center"/>
          </w:tcPr>
          <w:p w14:paraId="0B947327">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污泥</w:t>
            </w:r>
          </w:p>
        </w:tc>
        <w:tc>
          <w:tcPr>
            <w:tcW w:w="5859" w:type="dxa"/>
            <w:noWrap w:val="0"/>
            <w:vAlign w:val="center"/>
          </w:tcPr>
          <w:p w14:paraId="7CE378C9">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含水率</w:t>
            </w:r>
          </w:p>
        </w:tc>
      </w:tr>
      <w:tr w14:paraId="2ABA4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2667" w:type="dxa"/>
            <w:vMerge w:val="continue"/>
            <w:noWrap w:val="0"/>
            <w:vAlign w:val="center"/>
          </w:tcPr>
          <w:p w14:paraId="221E6214">
            <w:pPr>
              <w:adjustRightInd w:val="0"/>
              <w:snapToGrid w:val="0"/>
              <w:spacing w:line="400" w:lineRule="exact"/>
              <w:jc w:val="center"/>
              <w:rPr>
                <w:rFonts w:hint="eastAsia" w:ascii="宋体" w:hAnsi="宋体" w:eastAsia="宋体" w:cs="宋体"/>
                <w:bCs/>
                <w:color w:val="000000"/>
                <w:sz w:val="24"/>
                <w:szCs w:val="24"/>
                <w:lang w:val="en-US" w:eastAsia="zh-CN"/>
              </w:rPr>
            </w:pPr>
          </w:p>
        </w:tc>
        <w:tc>
          <w:tcPr>
            <w:tcW w:w="5859" w:type="dxa"/>
            <w:noWrap w:val="0"/>
            <w:vAlign w:val="center"/>
          </w:tcPr>
          <w:p w14:paraId="2AB98F57">
            <w:pPr>
              <w:adjustRightInd w:val="0"/>
              <w:snapToGrid w:val="0"/>
              <w:spacing w:line="400" w:lineRule="exact"/>
              <w:jc w:val="center"/>
              <w:rPr>
                <w:rFonts w:hint="default"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有机物降解率、蠕虫卵死亡率、粪大肠菌群菌值</w:t>
            </w:r>
          </w:p>
        </w:tc>
      </w:tr>
    </w:tbl>
    <w:p w14:paraId="623BE01E">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2、监测频次</w:t>
      </w:r>
    </w:p>
    <w:tbl>
      <w:tblPr>
        <w:tblStyle w:val="7"/>
        <w:tblW w:w="84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88"/>
        <w:gridCol w:w="2146"/>
        <w:gridCol w:w="2654"/>
      </w:tblGrid>
      <w:tr w14:paraId="7DCA3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3688" w:type="dxa"/>
            <w:noWrap w:val="0"/>
            <w:vAlign w:val="center"/>
          </w:tcPr>
          <w:p w14:paraId="276BE504">
            <w:pPr>
              <w:spacing w:line="320" w:lineRule="exact"/>
              <w:jc w:val="center"/>
              <w:rPr>
                <w:rFonts w:hint="eastAsia" w:ascii="宋体" w:hAnsi="宋体" w:eastAsia="宋体" w:cs="宋体"/>
                <w:b/>
                <w:bCs w:val="0"/>
                <w:sz w:val="24"/>
                <w:szCs w:val="24"/>
                <w:vertAlign w:val="baseline"/>
              </w:rPr>
            </w:pPr>
            <w:r>
              <w:rPr>
                <w:rFonts w:hint="eastAsia" w:ascii="宋体" w:hAnsi="宋体" w:eastAsia="宋体" w:cs="宋体"/>
                <w:b/>
                <w:bCs w:val="0"/>
                <w:color w:val="000000"/>
                <w:sz w:val="24"/>
                <w:szCs w:val="24"/>
                <w:lang w:val="en-US" w:eastAsia="zh-CN"/>
              </w:rPr>
              <w:t>监</w:t>
            </w:r>
            <w:r>
              <w:rPr>
                <w:rFonts w:hint="eastAsia" w:ascii="宋体" w:hAnsi="宋体" w:eastAsia="宋体" w:cs="宋体"/>
                <w:b/>
                <w:bCs w:val="0"/>
                <w:color w:val="000000"/>
                <w:sz w:val="24"/>
                <w:szCs w:val="24"/>
                <w:lang w:eastAsia="zh-CN"/>
              </w:rPr>
              <w:t>测因子</w:t>
            </w:r>
          </w:p>
        </w:tc>
        <w:tc>
          <w:tcPr>
            <w:tcW w:w="2146" w:type="dxa"/>
            <w:noWrap w:val="0"/>
            <w:vAlign w:val="center"/>
          </w:tcPr>
          <w:p w14:paraId="292275E8">
            <w:pPr>
              <w:spacing w:line="320" w:lineRule="exact"/>
              <w:jc w:val="center"/>
              <w:rPr>
                <w:rFonts w:hint="eastAsia" w:ascii="宋体" w:hAnsi="宋体" w:eastAsia="宋体" w:cs="宋体"/>
                <w:b/>
                <w:bCs w:val="0"/>
                <w:sz w:val="24"/>
                <w:szCs w:val="24"/>
                <w:vertAlign w:val="baseline"/>
              </w:rPr>
            </w:pPr>
            <w:r>
              <w:rPr>
                <w:rFonts w:hint="eastAsia" w:ascii="宋体" w:hAnsi="宋体" w:eastAsia="宋体" w:cs="宋体"/>
                <w:b/>
                <w:bCs w:val="0"/>
                <w:color w:val="000000"/>
                <w:sz w:val="24"/>
                <w:szCs w:val="24"/>
                <w:lang w:val="en-US" w:eastAsia="zh-CN"/>
              </w:rPr>
              <w:t>监</w:t>
            </w:r>
            <w:r>
              <w:rPr>
                <w:rFonts w:hint="eastAsia" w:ascii="宋体" w:hAnsi="宋体" w:eastAsia="宋体" w:cs="宋体"/>
                <w:b/>
                <w:bCs w:val="0"/>
                <w:color w:val="000000"/>
                <w:sz w:val="24"/>
                <w:szCs w:val="24"/>
                <w:lang w:eastAsia="zh-CN"/>
              </w:rPr>
              <w:t>测频次</w:t>
            </w:r>
          </w:p>
        </w:tc>
        <w:tc>
          <w:tcPr>
            <w:tcW w:w="2654" w:type="dxa"/>
            <w:noWrap w:val="0"/>
            <w:vAlign w:val="center"/>
          </w:tcPr>
          <w:p w14:paraId="4EE612D6">
            <w:pPr>
              <w:spacing w:line="320" w:lineRule="exact"/>
              <w:jc w:val="center"/>
              <w:rPr>
                <w:rFonts w:hint="eastAsia" w:ascii="宋体" w:hAnsi="宋体" w:eastAsia="宋体" w:cs="宋体"/>
                <w:b/>
                <w:bCs w:val="0"/>
                <w:color w:val="000000"/>
                <w:sz w:val="24"/>
                <w:szCs w:val="24"/>
                <w:lang w:eastAsia="zh-CN"/>
              </w:rPr>
            </w:pPr>
            <w:r>
              <w:rPr>
                <w:rFonts w:hint="eastAsia" w:ascii="宋体" w:hAnsi="宋体" w:eastAsia="宋体" w:cs="宋体"/>
                <w:b/>
                <w:bCs w:val="0"/>
                <w:color w:val="000000"/>
                <w:sz w:val="24"/>
                <w:szCs w:val="24"/>
                <w:lang w:val="en-US" w:eastAsia="zh-CN"/>
              </w:rPr>
              <w:t>监</w:t>
            </w:r>
            <w:r>
              <w:rPr>
                <w:rFonts w:hint="eastAsia" w:ascii="宋体" w:hAnsi="宋体" w:eastAsia="宋体" w:cs="宋体"/>
                <w:b/>
                <w:bCs w:val="0"/>
                <w:color w:val="000000"/>
                <w:sz w:val="24"/>
                <w:szCs w:val="24"/>
                <w:lang w:eastAsia="zh-CN"/>
              </w:rPr>
              <w:t>测设施</w:t>
            </w:r>
          </w:p>
        </w:tc>
      </w:tr>
      <w:tr w14:paraId="2FC6C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trPr>
        <w:tc>
          <w:tcPr>
            <w:tcW w:w="3688" w:type="dxa"/>
            <w:noWrap w:val="0"/>
            <w:vAlign w:val="center"/>
          </w:tcPr>
          <w:p w14:paraId="68CC2EBD">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氨气、硫化氢、臭气浓度</w:t>
            </w:r>
          </w:p>
        </w:tc>
        <w:tc>
          <w:tcPr>
            <w:tcW w:w="2146" w:type="dxa"/>
            <w:noWrap w:val="0"/>
            <w:vAlign w:val="center"/>
          </w:tcPr>
          <w:p w14:paraId="7A5C7470">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1次/半年</w:t>
            </w:r>
          </w:p>
        </w:tc>
        <w:tc>
          <w:tcPr>
            <w:tcW w:w="2654" w:type="dxa"/>
            <w:noWrap w:val="0"/>
            <w:vAlign w:val="center"/>
          </w:tcPr>
          <w:p w14:paraId="20483089">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第三方</w:t>
            </w:r>
          </w:p>
        </w:tc>
      </w:tr>
      <w:tr w14:paraId="757DD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trPr>
        <w:tc>
          <w:tcPr>
            <w:tcW w:w="3688" w:type="dxa"/>
            <w:noWrap w:val="0"/>
            <w:vAlign w:val="center"/>
          </w:tcPr>
          <w:p w14:paraId="3CFE9398">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甲烷</w:t>
            </w:r>
          </w:p>
        </w:tc>
        <w:tc>
          <w:tcPr>
            <w:tcW w:w="2146" w:type="dxa"/>
            <w:noWrap w:val="0"/>
            <w:vAlign w:val="center"/>
          </w:tcPr>
          <w:p w14:paraId="193E8B59">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1次/年</w:t>
            </w:r>
          </w:p>
        </w:tc>
        <w:tc>
          <w:tcPr>
            <w:tcW w:w="2654" w:type="dxa"/>
            <w:noWrap w:val="0"/>
            <w:vAlign w:val="center"/>
          </w:tcPr>
          <w:p w14:paraId="4437078A">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第三方</w:t>
            </w:r>
          </w:p>
        </w:tc>
      </w:tr>
      <w:tr w14:paraId="72CCC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3688" w:type="dxa"/>
            <w:noWrap w:val="0"/>
            <w:vAlign w:val="center"/>
          </w:tcPr>
          <w:p w14:paraId="42C13FF3">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总磷、氨氮、流量、化学需氧量、总氮、PH</w:t>
            </w:r>
          </w:p>
        </w:tc>
        <w:tc>
          <w:tcPr>
            <w:tcW w:w="2146" w:type="dxa"/>
            <w:noWrap w:val="0"/>
            <w:vAlign w:val="center"/>
          </w:tcPr>
          <w:p w14:paraId="590CCD23">
            <w:pPr>
              <w:adjustRightInd w:val="0"/>
              <w:snapToGrid w:val="0"/>
              <w:spacing w:line="400" w:lineRule="exact"/>
              <w:jc w:val="center"/>
              <w:rPr>
                <w:rFonts w:hint="default"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1次/6h,每天不少于4次</w:t>
            </w:r>
          </w:p>
        </w:tc>
        <w:tc>
          <w:tcPr>
            <w:tcW w:w="2654" w:type="dxa"/>
            <w:noWrap w:val="0"/>
            <w:vAlign w:val="center"/>
          </w:tcPr>
          <w:p w14:paraId="7CEFF0B4">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自动监测系统</w:t>
            </w:r>
          </w:p>
        </w:tc>
      </w:tr>
      <w:tr w14:paraId="6515F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3688" w:type="dxa"/>
            <w:noWrap w:val="0"/>
            <w:vAlign w:val="center"/>
          </w:tcPr>
          <w:p w14:paraId="0BCC072B">
            <w:pPr>
              <w:adjustRightInd w:val="0"/>
              <w:snapToGrid w:val="0"/>
              <w:spacing w:line="400" w:lineRule="exact"/>
              <w:jc w:val="both"/>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石油类、五日生化需氧量、动植物油、粪大肠菌群、阴离子表面活性剂</w:t>
            </w:r>
          </w:p>
        </w:tc>
        <w:tc>
          <w:tcPr>
            <w:tcW w:w="2146" w:type="dxa"/>
            <w:noWrap w:val="0"/>
            <w:vAlign w:val="center"/>
          </w:tcPr>
          <w:p w14:paraId="57770C8E">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1次/月</w:t>
            </w:r>
          </w:p>
        </w:tc>
        <w:tc>
          <w:tcPr>
            <w:tcW w:w="2654" w:type="dxa"/>
            <w:noWrap w:val="0"/>
            <w:vAlign w:val="center"/>
          </w:tcPr>
          <w:p w14:paraId="52AE35C1">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第三方</w:t>
            </w:r>
          </w:p>
        </w:tc>
      </w:tr>
      <w:tr w14:paraId="0BADB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trPr>
        <w:tc>
          <w:tcPr>
            <w:tcW w:w="3688" w:type="dxa"/>
            <w:noWrap w:val="0"/>
            <w:vAlign w:val="center"/>
          </w:tcPr>
          <w:p w14:paraId="7668A878">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总铬、总镉、总砷、总汞、总铅、六价铬</w:t>
            </w:r>
          </w:p>
        </w:tc>
        <w:tc>
          <w:tcPr>
            <w:tcW w:w="2146" w:type="dxa"/>
            <w:noWrap w:val="0"/>
            <w:vAlign w:val="center"/>
          </w:tcPr>
          <w:p w14:paraId="66F2CABE">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1次/季度</w:t>
            </w:r>
          </w:p>
        </w:tc>
        <w:tc>
          <w:tcPr>
            <w:tcW w:w="2654" w:type="dxa"/>
            <w:noWrap w:val="0"/>
            <w:vAlign w:val="center"/>
          </w:tcPr>
          <w:p w14:paraId="30D91185">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第三方</w:t>
            </w:r>
          </w:p>
        </w:tc>
      </w:tr>
      <w:tr w14:paraId="4879D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3688" w:type="dxa"/>
            <w:noWrap w:val="0"/>
            <w:vAlign w:val="center"/>
          </w:tcPr>
          <w:p w14:paraId="194985A5">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烷基汞</w:t>
            </w:r>
          </w:p>
        </w:tc>
        <w:tc>
          <w:tcPr>
            <w:tcW w:w="2146" w:type="dxa"/>
            <w:noWrap w:val="0"/>
            <w:vAlign w:val="center"/>
          </w:tcPr>
          <w:p w14:paraId="7D53C3C8">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1次/半年</w:t>
            </w:r>
          </w:p>
        </w:tc>
        <w:tc>
          <w:tcPr>
            <w:tcW w:w="2654" w:type="dxa"/>
            <w:noWrap w:val="0"/>
            <w:vAlign w:val="center"/>
          </w:tcPr>
          <w:p w14:paraId="597BF92C">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第三方</w:t>
            </w:r>
          </w:p>
        </w:tc>
      </w:tr>
      <w:tr w14:paraId="78487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trPr>
        <w:tc>
          <w:tcPr>
            <w:tcW w:w="3688" w:type="dxa"/>
            <w:noWrap w:val="0"/>
            <w:vAlign w:val="center"/>
          </w:tcPr>
          <w:p w14:paraId="6B3F3599">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污泥含水率、悬浮物、色度</w:t>
            </w:r>
          </w:p>
        </w:tc>
        <w:tc>
          <w:tcPr>
            <w:tcW w:w="2146" w:type="dxa"/>
            <w:noWrap w:val="0"/>
            <w:vAlign w:val="center"/>
          </w:tcPr>
          <w:p w14:paraId="76680425">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1次/日</w:t>
            </w:r>
          </w:p>
        </w:tc>
        <w:tc>
          <w:tcPr>
            <w:tcW w:w="2654" w:type="dxa"/>
            <w:noWrap w:val="0"/>
            <w:vAlign w:val="center"/>
          </w:tcPr>
          <w:p w14:paraId="6CB272B8">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化验室</w:t>
            </w:r>
          </w:p>
        </w:tc>
      </w:tr>
      <w:tr w14:paraId="5CB50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trPr>
        <w:tc>
          <w:tcPr>
            <w:tcW w:w="3688" w:type="dxa"/>
            <w:noWrap w:val="0"/>
            <w:vAlign w:val="center"/>
          </w:tcPr>
          <w:p w14:paraId="15B7AC76">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有机物降解率、蠕虫卵死亡率、粪大肠菌群菌值</w:t>
            </w:r>
          </w:p>
        </w:tc>
        <w:tc>
          <w:tcPr>
            <w:tcW w:w="2146" w:type="dxa"/>
            <w:noWrap w:val="0"/>
            <w:vAlign w:val="center"/>
          </w:tcPr>
          <w:p w14:paraId="7DDBA03B">
            <w:pPr>
              <w:adjustRightInd w:val="0"/>
              <w:snapToGrid w:val="0"/>
              <w:spacing w:line="400" w:lineRule="exact"/>
              <w:jc w:val="center"/>
              <w:rPr>
                <w:rFonts w:hint="default"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1次/月</w:t>
            </w:r>
          </w:p>
        </w:tc>
        <w:tc>
          <w:tcPr>
            <w:tcW w:w="2654" w:type="dxa"/>
            <w:noWrap w:val="0"/>
            <w:vAlign w:val="center"/>
          </w:tcPr>
          <w:p w14:paraId="3E087CF0">
            <w:pPr>
              <w:adjustRightInd w:val="0"/>
              <w:snapToGrid w:val="0"/>
              <w:spacing w:line="400" w:lineRule="exact"/>
              <w:jc w:val="center"/>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lang w:val="en-US" w:eastAsia="zh-CN"/>
              </w:rPr>
              <w:t>第三方</w:t>
            </w:r>
          </w:p>
        </w:tc>
      </w:tr>
    </w:tbl>
    <w:p w14:paraId="0876F58D">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3、分析测试方法及仪器</w:t>
      </w:r>
    </w:p>
    <w:tbl>
      <w:tblPr>
        <w:tblStyle w:val="6"/>
        <w:tblW w:w="93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8"/>
        <w:gridCol w:w="2868"/>
        <w:gridCol w:w="3080"/>
        <w:gridCol w:w="1908"/>
      </w:tblGrid>
      <w:tr w14:paraId="013AD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14:paraId="6B18EC14">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监测项目</w:t>
            </w:r>
          </w:p>
        </w:tc>
        <w:tc>
          <w:tcPr>
            <w:tcW w:w="2868" w:type="dxa"/>
            <w:noWrap w:val="0"/>
            <w:vAlign w:val="top"/>
          </w:tcPr>
          <w:p w14:paraId="2EDF0726">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检测标准</w:t>
            </w:r>
          </w:p>
        </w:tc>
        <w:tc>
          <w:tcPr>
            <w:tcW w:w="3080" w:type="dxa"/>
            <w:noWrap w:val="0"/>
            <w:vAlign w:val="top"/>
          </w:tcPr>
          <w:p w14:paraId="6BF6E273">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使用仪器</w:t>
            </w:r>
          </w:p>
        </w:tc>
        <w:tc>
          <w:tcPr>
            <w:tcW w:w="1908" w:type="dxa"/>
            <w:noWrap w:val="0"/>
            <w:vAlign w:val="top"/>
          </w:tcPr>
          <w:p w14:paraId="696DD753">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检出限值</w:t>
            </w:r>
          </w:p>
        </w:tc>
      </w:tr>
      <w:tr w14:paraId="00777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468" w:type="dxa"/>
            <w:noWrap w:val="0"/>
            <w:vAlign w:val="top"/>
          </w:tcPr>
          <w:p w14:paraId="2B0E3072">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lang w:val="en-US" w:eastAsia="zh-CN"/>
              </w:rPr>
              <w:t>COD</w:t>
            </w:r>
          </w:p>
        </w:tc>
        <w:tc>
          <w:tcPr>
            <w:tcW w:w="2868" w:type="dxa"/>
            <w:noWrap w:val="0"/>
            <w:vAlign w:val="top"/>
          </w:tcPr>
          <w:p w14:paraId="3D3F5D82">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lang w:val="en-US" w:eastAsia="zh-CN"/>
              </w:rPr>
              <w:t>重铬酸盐法</w:t>
            </w:r>
          </w:p>
        </w:tc>
        <w:tc>
          <w:tcPr>
            <w:tcW w:w="3080" w:type="dxa"/>
            <w:noWrap w:val="0"/>
            <w:vAlign w:val="top"/>
          </w:tcPr>
          <w:p w14:paraId="0381F6B0">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COD自动监测系统</w:t>
            </w:r>
          </w:p>
        </w:tc>
        <w:tc>
          <w:tcPr>
            <w:tcW w:w="1908" w:type="dxa"/>
            <w:noWrap w:val="0"/>
            <w:vAlign w:val="top"/>
          </w:tcPr>
          <w:p w14:paraId="006417DB">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b w:val="0"/>
                <w:bCs w:val="0"/>
                <w:sz w:val="24"/>
                <w:szCs w:val="24"/>
                <w:lang w:val="en-US" w:eastAsia="zh-CN"/>
              </w:rPr>
              <w:t>4mg/L</w:t>
            </w:r>
          </w:p>
        </w:tc>
      </w:tr>
      <w:tr w14:paraId="2B7A8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14:paraId="0560CB5D">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lang w:val="en-US" w:eastAsia="zh-CN"/>
              </w:rPr>
              <w:t>氨氮</w:t>
            </w:r>
          </w:p>
        </w:tc>
        <w:tc>
          <w:tcPr>
            <w:tcW w:w="2868" w:type="dxa"/>
            <w:noWrap w:val="0"/>
            <w:vAlign w:val="top"/>
          </w:tcPr>
          <w:p w14:paraId="0A28EE7B">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lang w:val="en-US" w:eastAsia="zh-CN"/>
              </w:rPr>
              <w:t>纳氏试剂光度法</w:t>
            </w:r>
          </w:p>
        </w:tc>
        <w:tc>
          <w:tcPr>
            <w:tcW w:w="3080" w:type="dxa"/>
            <w:noWrap w:val="0"/>
            <w:vAlign w:val="top"/>
          </w:tcPr>
          <w:p w14:paraId="72864700">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氨氮自动监测系统</w:t>
            </w:r>
          </w:p>
        </w:tc>
        <w:tc>
          <w:tcPr>
            <w:tcW w:w="1908" w:type="dxa"/>
            <w:noWrap w:val="0"/>
            <w:vAlign w:val="top"/>
          </w:tcPr>
          <w:p w14:paraId="0A3CF157">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b w:val="0"/>
                <w:bCs w:val="0"/>
                <w:sz w:val="24"/>
                <w:szCs w:val="24"/>
                <w:lang w:val="en-US" w:eastAsia="zh-CN"/>
              </w:rPr>
              <w:t>0.025mg/L</w:t>
            </w:r>
          </w:p>
        </w:tc>
      </w:tr>
      <w:tr w14:paraId="5955F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14:paraId="6223ECC3">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总磷</w:t>
            </w:r>
          </w:p>
        </w:tc>
        <w:tc>
          <w:tcPr>
            <w:tcW w:w="2868" w:type="dxa"/>
            <w:noWrap w:val="0"/>
            <w:vAlign w:val="top"/>
          </w:tcPr>
          <w:p w14:paraId="539DB006">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钼锑抗分光光度法</w:t>
            </w:r>
          </w:p>
        </w:tc>
        <w:tc>
          <w:tcPr>
            <w:tcW w:w="3080" w:type="dxa"/>
            <w:noWrap w:val="0"/>
            <w:vAlign w:val="top"/>
          </w:tcPr>
          <w:p w14:paraId="3C5F1A1D">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总磷自动监测系统</w:t>
            </w:r>
          </w:p>
        </w:tc>
        <w:tc>
          <w:tcPr>
            <w:tcW w:w="1908" w:type="dxa"/>
            <w:noWrap w:val="0"/>
            <w:vAlign w:val="top"/>
          </w:tcPr>
          <w:p w14:paraId="5E2AF620">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0.01mg/L</w:t>
            </w:r>
          </w:p>
        </w:tc>
      </w:tr>
      <w:tr w14:paraId="280D7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14:paraId="6C6E1D36">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总氮</w:t>
            </w:r>
          </w:p>
        </w:tc>
        <w:tc>
          <w:tcPr>
            <w:tcW w:w="2868" w:type="dxa"/>
            <w:noWrap w:val="0"/>
            <w:vAlign w:val="top"/>
          </w:tcPr>
          <w:p w14:paraId="313380D7">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紫外分光光度法</w:t>
            </w:r>
          </w:p>
        </w:tc>
        <w:tc>
          <w:tcPr>
            <w:tcW w:w="3080" w:type="dxa"/>
            <w:noWrap w:val="0"/>
            <w:vAlign w:val="top"/>
          </w:tcPr>
          <w:p w14:paraId="7F189DED">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总氮自动监测系统</w:t>
            </w:r>
          </w:p>
        </w:tc>
        <w:tc>
          <w:tcPr>
            <w:tcW w:w="1908" w:type="dxa"/>
            <w:noWrap w:val="0"/>
            <w:vAlign w:val="top"/>
          </w:tcPr>
          <w:p w14:paraId="24584FAE">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0.05mg/L</w:t>
            </w:r>
          </w:p>
        </w:tc>
      </w:tr>
      <w:tr w14:paraId="6BD62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14:paraId="29165B21">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PH</w:t>
            </w:r>
          </w:p>
        </w:tc>
        <w:tc>
          <w:tcPr>
            <w:tcW w:w="2868" w:type="dxa"/>
            <w:noWrap w:val="0"/>
            <w:vAlign w:val="top"/>
          </w:tcPr>
          <w:p w14:paraId="3BE4FA94">
            <w:pPr>
              <w:tabs>
                <w:tab w:val="left" w:pos="2385"/>
                <w:tab w:val="center" w:pos="4819"/>
              </w:tabs>
              <w:adjustRightInd w:val="0"/>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《水质 pH值的测定 电极法》</w:t>
            </w:r>
          </w:p>
          <w:p w14:paraId="2FDDEB53">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color w:val="000000"/>
                <w:sz w:val="24"/>
                <w:szCs w:val="24"/>
                <w:lang w:val="en-US" w:eastAsia="zh-CN"/>
              </w:rPr>
              <w:t>HJ</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1147</w:t>
            </w:r>
            <w:r>
              <w:rPr>
                <w:rFonts w:hint="eastAsia" w:ascii="宋体" w:hAnsi="宋体" w:eastAsia="宋体" w:cs="宋体"/>
                <w:color w:val="000000"/>
                <w:sz w:val="24"/>
                <w:szCs w:val="24"/>
              </w:rPr>
              <w:t>-</w:t>
            </w:r>
            <w:r>
              <w:rPr>
                <w:rFonts w:hint="eastAsia" w:ascii="宋体" w:hAnsi="宋体" w:eastAsia="宋体" w:cs="宋体"/>
                <w:color w:val="000000"/>
                <w:sz w:val="24"/>
                <w:szCs w:val="24"/>
                <w:lang w:val="en-US" w:eastAsia="zh-CN"/>
              </w:rPr>
              <w:t>2020</w:t>
            </w:r>
          </w:p>
        </w:tc>
        <w:tc>
          <w:tcPr>
            <w:tcW w:w="3080" w:type="dxa"/>
            <w:noWrap w:val="0"/>
            <w:vAlign w:val="top"/>
          </w:tcPr>
          <w:p w14:paraId="20913873">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color w:val="000000"/>
                <w:sz w:val="24"/>
                <w:szCs w:val="24"/>
                <w:lang w:val="en-US" w:eastAsia="zh-CN"/>
              </w:rPr>
              <w:t>便携式pH检测计</w:t>
            </w:r>
          </w:p>
        </w:tc>
        <w:tc>
          <w:tcPr>
            <w:tcW w:w="1908" w:type="dxa"/>
            <w:noWrap w:val="0"/>
            <w:vAlign w:val="top"/>
          </w:tcPr>
          <w:p w14:paraId="4F4B95F1">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sz w:val="24"/>
                <w:szCs w:val="24"/>
                <w:lang w:val="en-US" w:eastAsia="zh-CN"/>
              </w:rPr>
            </w:pPr>
          </w:p>
        </w:tc>
      </w:tr>
      <w:tr w14:paraId="6BE0C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14:paraId="0631BE21">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b w:val="0"/>
                <w:bCs w:val="0"/>
                <w:sz w:val="24"/>
                <w:szCs w:val="24"/>
                <w:lang w:val="en-US" w:eastAsia="zh-CN"/>
              </w:rPr>
              <w:t>动植物油</w:t>
            </w:r>
          </w:p>
        </w:tc>
        <w:tc>
          <w:tcPr>
            <w:tcW w:w="2868" w:type="dxa"/>
            <w:noWrap w:val="0"/>
            <w:vAlign w:val="top"/>
          </w:tcPr>
          <w:p w14:paraId="48203CAF">
            <w:pPr>
              <w:keepNext w:val="0"/>
              <w:keepLines w:val="0"/>
              <w:pageBreakBefore w:val="0"/>
              <w:kinsoku/>
              <w:wordWrap/>
              <w:overflowPunct/>
              <w:topLinePunct w:val="0"/>
              <w:autoSpaceDE/>
              <w:autoSpaceDN/>
              <w:bidi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《水质 石油类和动植物油类的测定红外分光光度法》</w:t>
            </w:r>
          </w:p>
          <w:p w14:paraId="2B222C26">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rPr>
              <w:t>HJ 637-2018</w:t>
            </w:r>
          </w:p>
        </w:tc>
        <w:tc>
          <w:tcPr>
            <w:tcW w:w="3080" w:type="dxa"/>
            <w:noWrap w:val="0"/>
            <w:vAlign w:val="top"/>
          </w:tcPr>
          <w:p w14:paraId="10D607B3">
            <w:pPr>
              <w:pStyle w:val="4"/>
              <w:rPr>
                <w:rFonts w:hint="eastAsia" w:ascii="宋体" w:hAnsi="宋体" w:eastAsia="宋体" w:cs="宋体"/>
                <w:sz w:val="24"/>
                <w:szCs w:val="24"/>
                <w:vertAlign w:val="baseline"/>
                <w:lang w:val="en-US" w:eastAsia="zh-CN"/>
              </w:rPr>
            </w:pPr>
            <w:r>
              <w:rPr>
                <w:rFonts w:hint="eastAsia" w:ascii="宋体" w:hAnsi="宋体" w:eastAsia="宋体" w:cs="宋体"/>
                <w:sz w:val="24"/>
                <w:szCs w:val="24"/>
              </w:rPr>
              <w:t>红外分光测油仪</w:t>
            </w:r>
          </w:p>
        </w:tc>
        <w:tc>
          <w:tcPr>
            <w:tcW w:w="1908" w:type="dxa"/>
            <w:noWrap w:val="0"/>
            <w:vAlign w:val="top"/>
          </w:tcPr>
          <w:p w14:paraId="655D9292">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0.06mg/L</w:t>
            </w:r>
          </w:p>
        </w:tc>
      </w:tr>
      <w:tr w14:paraId="31AAF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14:paraId="093F0B34">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b w:val="0"/>
                <w:bCs w:val="0"/>
                <w:sz w:val="24"/>
                <w:szCs w:val="24"/>
                <w:lang w:val="en-US" w:eastAsia="zh-CN"/>
              </w:rPr>
              <w:t>粪大肠菌群</w:t>
            </w:r>
          </w:p>
        </w:tc>
        <w:tc>
          <w:tcPr>
            <w:tcW w:w="2868" w:type="dxa"/>
            <w:noWrap w:val="0"/>
            <w:vAlign w:val="top"/>
          </w:tcPr>
          <w:p w14:paraId="45AC0F4F">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color w:val="000000"/>
                <w:kern w:val="0"/>
                <w:sz w:val="24"/>
                <w:szCs w:val="24"/>
              </w:rPr>
              <w:t>《水质 粪大肠菌群的测定 多管发酵法》</w:t>
            </w:r>
            <w:r>
              <w:rPr>
                <w:rStyle w:val="8"/>
                <w:rFonts w:ascii="宋体" w:hAnsi="宋体" w:eastAsia="宋体" w:cs="Times New Roman"/>
                <w:kern w:val="2"/>
                <w:sz w:val="24"/>
                <w:szCs w:val="24"/>
                <w:lang w:val="en-US" w:eastAsia="zh-CN" w:bidi="ar-SA"/>
              </w:rPr>
              <w:t>HJ/T347.2-2018</w:t>
            </w:r>
          </w:p>
        </w:tc>
        <w:tc>
          <w:tcPr>
            <w:tcW w:w="3080" w:type="dxa"/>
            <w:noWrap w:val="0"/>
            <w:vAlign w:val="top"/>
          </w:tcPr>
          <w:p w14:paraId="31F778F0">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color w:val="000000"/>
                <w:sz w:val="24"/>
                <w:szCs w:val="24"/>
              </w:rPr>
              <w:t>电热恒温培养箱</w:t>
            </w:r>
          </w:p>
        </w:tc>
        <w:tc>
          <w:tcPr>
            <w:tcW w:w="1908" w:type="dxa"/>
            <w:noWrap w:val="0"/>
            <w:vAlign w:val="top"/>
          </w:tcPr>
          <w:p w14:paraId="6E3D2872">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20MPN/L</w:t>
            </w:r>
          </w:p>
        </w:tc>
      </w:tr>
      <w:tr w14:paraId="6BF05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14:paraId="7D2083D3">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b w:val="0"/>
                <w:bCs w:val="0"/>
                <w:sz w:val="24"/>
                <w:szCs w:val="24"/>
                <w:lang w:val="en-US" w:eastAsia="zh-CN"/>
              </w:rPr>
              <w:t>流量</w:t>
            </w:r>
          </w:p>
        </w:tc>
        <w:tc>
          <w:tcPr>
            <w:tcW w:w="2868" w:type="dxa"/>
            <w:noWrap w:val="0"/>
            <w:vAlign w:val="top"/>
          </w:tcPr>
          <w:p w14:paraId="133A935F">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污水监测技术规范 （6.6.2 流量测量）</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 xml:space="preserve"> HJ 91.1-2019</w:t>
            </w:r>
            <w:r>
              <w:rPr>
                <w:rFonts w:hint="eastAsia" w:ascii="宋体" w:hAnsi="宋体" w:eastAsia="宋体" w:cs="宋体"/>
                <w:color w:val="auto"/>
                <w:szCs w:val="21"/>
                <w:highlight w:val="none"/>
                <w:lang w:val="en-US" w:eastAsia="zh-CN"/>
              </w:rPr>
              <w:t xml:space="preserve"> </w:t>
            </w:r>
          </w:p>
        </w:tc>
        <w:tc>
          <w:tcPr>
            <w:tcW w:w="3080" w:type="dxa"/>
            <w:noWrap w:val="0"/>
            <w:vAlign w:val="top"/>
          </w:tcPr>
          <w:p w14:paraId="38623A1B">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color w:val="000000"/>
                <w:sz w:val="24"/>
                <w:szCs w:val="24"/>
              </w:rPr>
              <w:t>便捷式流速测算仪</w:t>
            </w:r>
          </w:p>
        </w:tc>
        <w:tc>
          <w:tcPr>
            <w:tcW w:w="1908" w:type="dxa"/>
            <w:noWrap w:val="0"/>
            <w:vAlign w:val="top"/>
          </w:tcPr>
          <w:p w14:paraId="08188D60">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sz w:val="24"/>
                <w:szCs w:val="24"/>
                <w:lang w:val="en-US" w:eastAsia="zh-CN"/>
              </w:rPr>
            </w:pPr>
          </w:p>
        </w:tc>
      </w:tr>
      <w:tr w14:paraId="1A042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14:paraId="13DCDA8A">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b w:val="0"/>
                <w:bCs w:val="0"/>
                <w:sz w:val="24"/>
                <w:szCs w:val="24"/>
                <w:lang w:val="en-US" w:eastAsia="zh-CN"/>
              </w:rPr>
              <w:t>六价铬</w:t>
            </w:r>
          </w:p>
        </w:tc>
        <w:tc>
          <w:tcPr>
            <w:tcW w:w="2868" w:type="dxa"/>
            <w:noWrap w:val="0"/>
            <w:vAlign w:val="top"/>
          </w:tcPr>
          <w:p w14:paraId="7B110707">
            <w:pPr>
              <w:autoSpaceDN w:val="0"/>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w:t>
            </w:r>
            <w:r>
              <w:rPr>
                <w:rFonts w:hint="eastAsia" w:ascii="宋体" w:hAnsi="宋体" w:eastAsia="宋体" w:cs="宋体"/>
                <w:color w:val="000000"/>
                <w:sz w:val="24"/>
                <w:szCs w:val="24"/>
              </w:rPr>
              <w:t>水质 六价铬的测定 二苯碳酰二肼分光光度法》</w:t>
            </w:r>
          </w:p>
          <w:p w14:paraId="436A9A46">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color w:val="000000"/>
                <w:sz w:val="24"/>
                <w:szCs w:val="24"/>
              </w:rPr>
              <w:t>GB 7467-</w:t>
            </w:r>
            <w:r>
              <w:rPr>
                <w:rFonts w:hint="eastAsia" w:ascii="宋体" w:hAnsi="宋体" w:eastAsia="宋体" w:cs="宋体"/>
                <w:color w:val="000000"/>
                <w:sz w:val="24"/>
                <w:szCs w:val="24"/>
                <w:lang w:val="en-US" w:eastAsia="zh-CN"/>
              </w:rPr>
              <w:t>19</w:t>
            </w:r>
            <w:r>
              <w:rPr>
                <w:rFonts w:hint="eastAsia" w:ascii="宋体" w:hAnsi="宋体" w:eastAsia="宋体" w:cs="宋体"/>
                <w:color w:val="000000"/>
                <w:sz w:val="24"/>
                <w:szCs w:val="24"/>
              </w:rPr>
              <w:t>87</w:t>
            </w:r>
          </w:p>
        </w:tc>
        <w:tc>
          <w:tcPr>
            <w:tcW w:w="3080" w:type="dxa"/>
            <w:noWrap w:val="0"/>
            <w:vAlign w:val="top"/>
          </w:tcPr>
          <w:p w14:paraId="57AA03A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紫外可见分光光度计</w:t>
            </w:r>
          </w:p>
          <w:p w14:paraId="4C29565D">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vertAlign w:val="baseline"/>
                <w:lang w:val="en-US" w:eastAsia="zh-CN"/>
              </w:rPr>
            </w:pPr>
          </w:p>
        </w:tc>
        <w:tc>
          <w:tcPr>
            <w:tcW w:w="1908" w:type="dxa"/>
            <w:noWrap w:val="0"/>
            <w:vAlign w:val="top"/>
          </w:tcPr>
          <w:p w14:paraId="7A4194D5">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0.004mg/L</w:t>
            </w:r>
          </w:p>
        </w:tc>
      </w:tr>
      <w:tr w14:paraId="44C33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14:paraId="545DA188">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b w:val="0"/>
                <w:bCs w:val="0"/>
                <w:sz w:val="24"/>
                <w:szCs w:val="24"/>
                <w:lang w:val="en-US" w:eastAsia="zh-CN"/>
              </w:rPr>
              <w:t>色度</w:t>
            </w:r>
          </w:p>
        </w:tc>
        <w:tc>
          <w:tcPr>
            <w:tcW w:w="2868" w:type="dxa"/>
            <w:noWrap w:val="0"/>
            <w:vAlign w:val="top"/>
          </w:tcPr>
          <w:p w14:paraId="051FB9EA">
            <w:pPr>
              <w:keepNext w:val="0"/>
              <w:keepLines w:val="0"/>
              <w:pageBreakBefore w:val="0"/>
              <w:tabs>
                <w:tab w:val="left" w:pos="2385"/>
                <w:tab w:val="center" w:pos="4819"/>
              </w:tabs>
              <w:kinsoku/>
              <w:wordWrap/>
              <w:overflowPunct/>
              <w:topLinePunct w:val="0"/>
              <w:autoSpaceDE/>
              <w:bidi w:val="0"/>
              <w:adjustRightInd w:val="0"/>
              <w:snapToGrid w:val="0"/>
              <w:spacing w:line="24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w:t>
            </w:r>
            <w:r>
              <w:rPr>
                <w:rFonts w:hint="eastAsia" w:ascii="宋体" w:hAnsi="宋体" w:eastAsia="宋体" w:cs="宋体"/>
                <w:color w:val="000000"/>
                <w:sz w:val="24"/>
                <w:szCs w:val="24"/>
                <w:lang w:val="en-US" w:eastAsia="zh-CN"/>
              </w:rPr>
              <w:t>水质 色度的测定</w:t>
            </w:r>
            <w:r>
              <w:rPr>
                <w:rFonts w:hint="default"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lang w:val="en-US" w:eastAsia="zh-CN"/>
              </w:rPr>
              <w:t>稀释倍数法</w:t>
            </w:r>
            <w:r>
              <w:rPr>
                <w:rFonts w:hint="eastAsia" w:ascii="宋体" w:hAnsi="宋体" w:eastAsia="宋体" w:cs="宋体"/>
                <w:color w:val="000000"/>
                <w:sz w:val="24"/>
                <w:szCs w:val="24"/>
              </w:rPr>
              <w:t>》</w:t>
            </w:r>
          </w:p>
          <w:p w14:paraId="4716E60B">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color w:val="000000"/>
                <w:sz w:val="24"/>
                <w:szCs w:val="24"/>
                <w:lang w:val="en-US" w:eastAsia="zh-CN"/>
              </w:rPr>
              <w:t>HJ 1182</w:t>
            </w:r>
            <w:r>
              <w:rPr>
                <w:rFonts w:hint="eastAsia" w:ascii="宋体" w:hAnsi="宋体" w:cs="宋体"/>
                <w:color w:val="000000"/>
                <w:sz w:val="24"/>
                <w:szCs w:val="24"/>
                <w:lang w:val="en-US" w:eastAsia="zh-CN"/>
              </w:rPr>
              <w:t>-</w:t>
            </w:r>
            <w:r>
              <w:rPr>
                <w:rFonts w:hint="default" w:ascii="宋体" w:hAnsi="宋体" w:eastAsia="宋体" w:cs="宋体"/>
                <w:color w:val="000000"/>
                <w:sz w:val="24"/>
                <w:szCs w:val="24"/>
                <w:lang w:val="en-US" w:eastAsia="zh-CN"/>
              </w:rPr>
              <w:t>2021</w:t>
            </w:r>
          </w:p>
        </w:tc>
        <w:tc>
          <w:tcPr>
            <w:tcW w:w="3080" w:type="dxa"/>
            <w:noWrap w:val="0"/>
            <w:vAlign w:val="top"/>
          </w:tcPr>
          <w:p w14:paraId="27CDA21C">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vertAlign w:val="baseline"/>
                <w:lang w:val="en-US" w:eastAsia="zh-CN"/>
              </w:rPr>
            </w:pPr>
          </w:p>
        </w:tc>
        <w:tc>
          <w:tcPr>
            <w:tcW w:w="1908" w:type="dxa"/>
            <w:noWrap w:val="0"/>
            <w:vAlign w:val="top"/>
          </w:tcPr>
          <w:p w14:paraId="606F2268">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w:t>
            </w:r>
          </w:p>
        </w:tc>
      </w:tr>
      <w:tr w14:paraId="3D6C8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14:paraId="163BCFA3">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b w:val="0"/>
                <w:bCs w:val="0"/>
                <w:sz w:val="24"/>
                <w:szCs w:val="24"/>
                <w:lang w:val="en-US" w:eastAsia="zh-CN"/>
              </w:rPr>
              <w:t>石油类</w:t>
            </w:r>
          </w:p>
        </w:tc>
        <w:tc>
          <w:tcPr>
            <w:tcW w:w="2868" w:type="dxa"/>
            <w:noWrap w:val="0"/>
            <w:vAlign w:val="top"/>
          </w:tcPr>
          <w:p w14:paraId="0423F3F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《水质 石油类和动植物油类的测定红外分光光度法》</w:t>
            </w:r>
          </w:p>
          <w:p w14:paraId="3FC11AAB">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rPr>
              <w:t>HJ 637-2018</w:t>
            </w:r>
          </w:p>
        </w:tc>
        <w:tc>
          <w:tcPr>
            <w:tcW w:w="3080" w:type="dxa"/>
            <w:noWrap w:val="0"/>
            <w:vAlign w:val="top"/>
          </w:tcPr>
          <w:p w14:paraId="5A8B94CF">
            <w:pPr>
              <w:pStyle w:val="10"/>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红外分光测油仪</w:t>
            </w:r>
          </w:p>
          <w:p w14:paraId="0118C7A3">
            <w:pPr>
              <w:pStyle w:val="4"/>
              <w:rPr>
                <w:rFonts w:hint="eastAsia" w:ascii="宋体" w:hAnsi="宋体" w:eastAsia="宋体" w:cs="宋体"/>
                <w:sz w:val="24"/>
                <w:szCs w:val="24"/>
                <w:vertAlign w:val="baseline"/>
                <w:lang w:val="en-US" w:eastAsia="zh-CN"/>
              </w:rPr>
            </w:pPr>
          </w:p>
        </w:tc>
        <w:tc>
          <w:tcPr>
            <w:tcW w:w="1908" w:type="dxa"/>
            <w:noWrap w:val="0"/>
            <w:vAlign w:val="top"/>
          </w:tcPr>
          <w:p w14:paraId="153429D0">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0.06mg/L</w:t>
            </w:r>
          </w:p>
        </w:tc>
      </w:tr>
      <w:tr w14:paraId="34F96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14:paraId="0B2AF806">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b w:val="0"/>
                <w:bCs w:val="0"/>
                <w:sz w:val="24"/>
                <w:szCs w:val="24"/>
                <w:lang w:val="en-US" w:eastAsia="zh-CN"/>
              </w:rPr>
              <w:t>烷基汞</w:t>
            </w:r>
          </w:p>
        </w:tc>
        <w:tc>
          <w:tcPr>
            <w:tcW w:w="2868" w:type="dxa"/>
            <w:noWrap w:val="0"/>
            <w:vAlign w:val="top"/>
          </w:tcPr>
          <w:p w14:paraId="493DBA7B">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rPr>
              <w:t>《</w:t>
            </w:r>
            <w:r>
              <w:rPr>
                <w:rFonts w:hint="eastAsia" w:ascii="宋体" w:hAnsi="宋体" w:eastAsia="宋体" w:cs="宋体"/>
                <w:color w:val="auto"/>
                <w:sz w:val="24"/>
                <w:szCs w:val="24"/>
              </w:rPr>
              <w:t>水质 烷基汞的测定 气相色谱法</w:t>
            </w:r>
            <w:r>
              <w:rPr>
                <w:rFonts w:hint="eastAsia" w:ascii="宋体" w:hAnsi="宋体" w:eastAsia="宋体" w:cs="宋体"/>
                <w:sz w:val="24"/>
                <w:szCs w:val="24"/>
              </w:rPr>
              <w:t>》</w:t>
            </w:r>
            <w:r>
              <w:rPr>
                <w:rFonts w:hint="eastAsia" w:ascii="宋体" w:hAnsi="宋体" w:eastAsia="宋体" w:cs="宋体"/>
                <w:color w:val="auto"/>
                <w:sz w:val="24"/>
                <w:szCs w:val="24"/>
              </w:rPr>
              <w:t xml:space="preserve"> GB/T 14204-</w:t>
            </w:r>
            <w:r>
              <w:rPr>
                <w:rFonts w:hint="eastAsia" w:ascii="宋体" w:hAnsi="宋体" w:eastAsia="宋体" w:cs="宋体"/>
                <w:color w:val="auto"/>
                <w:sz w:val="24"/>
                <w:szCs w:val="24"/>
                <w:lang w:val="en-US" w:eastAsia="zh-CN"/>
              </w:rPr>
              <w:t>19</w:t>
            </w:r>
            <w:r>
              <w:rPr>
                <w:rFonts w:hint="eastAsia" w:ascii="宋体" w:hAnsi="宋体" w:eastAsia="宋体" w:cs="宋体"/>
                <w:color w:val="auto"/>
                <w:sz w:val="24"/>
                <w:szCs w:val="24"/>
              </w:rPr>
              <w:t>93</w:t>
            </w:r>
          </w:p>
        </w:tc>
        <w:tc>
          <w:tcPr>
            <w:tcW w:w="3080" w:type="dxa"/>
            <w:noWrap w:val="0"/>
            <w:vAlign w:val="top"/>
          </w:tcPr>
          <w:p w14:paraId="384AEF99">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color w:val="auto"/>
                <w:sz w:val="24"/>
                <w:szCs w:val="24"/>
              </w:rPr>
              <w:t>气相色谱仪</w:t>
            </w:r>
          </w:p>
        </w:tc>
        <w:tc>
          <w:tcPr>
            <w:tcW w:w="1908" w:type="dxa"/>
            <w:noWrap w:val="0"/>
            <w:vAlign w:val="top"/>
          </w:tcPr>
          <w:p w14:paraId="672B783B">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甲基汞10ng/L乙基汞20ng/L</w:t>
            </w:r>
          </w:p>
        </w:tc>
      </w:tr>
      <w:tr w14:paraId="5F948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14:paraId="66595CE3">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b w:val="0"/>
                <w:bCs w:val="0"/>
                <w:sz w:val="24"/>
                <w:szCs w:val="24"/>
                <w:lang w:val="en-US" w:eastAsia="zh-CN"/>
              </w:rPr>
              <w:t>悬浮物</w:t>
            </w:r>
          </w:p>
        </w:tc>
        <w:tc>
          <w:tcPr>
            <w:tcW w:w="2868" w:type="dxa"/>
            <w:noWrap w:val="0"/>
            <w:vAlign w:val="top"/>
          </w:tcPr>
          <w:p w14:paraId="6F7A16E2">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color w:val="000000"/>
                <w:kern w:val="0"/>
                <w:sz w:val="24"/>
                <w:szCs w:val="24"/>
              </w:rPr>
              <w:t>《水质 悬浮物的测定 重量法》GB 11901-1989</w:t>
            </w:r>
          </w:p>
        </w:tc>
        <w:tc>
          <w:tcPr>
            <w:tcW w:w="3080" w:type="dxa"/>
            <w:noWrap w:val="0"/>
            <w:vAlign w:val="top"/>
          </w:tcPr>
          <w:p w14:paraId="5AA1048C">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cs="宋体"/>
                <w:color w:val="000000"/>
                <w:kern w:val="0"/>
                <w:sz w:val="24"/>
                <w:szCs w:val="32"/>
              </w:rPr>
              <w:t>电子分析天平</w:t>
            </w:r>
          </w:p>
        </w:tc>
        <w:tc>
          <w:tcPr>
            <w:tcW w:w="1908" w:type="dxa"/>
            <w:noWrap w:val="0"/>
            <w:vAlign w:val="top"/>
          </w:tcPr>
          <w:p w14:paraId="7A8D930E">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4mg/L</w:t>
            </w:r>
          </w:p>
        </w:tc>
      </w:tr>
      <w:tr w14:paraId="02C12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14:paraId="60C03BA3">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b w:val="0"/>
                <w:bCs w:val="0"/>
                <w:sz w:val="24"/>
                <w:szCs w:val="24"/>
                <w:lang w:val="en-US" w:eastAsia="zh-CN"/>
              </w:rPr>
              <w:t>五日生化需氧量</w:t>
            </w:r>
          </w:p>
        </w:tc>
        <w:tc>
          <w:tcPr>
            <w:tcW w:w="2868" w:type="dxa"/>
            <w:noWrap w:val="0"/>
            <w:vAlign w:val="top"/>
          </w:tcPr>
          <w:p w14:paraId="7D183FA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sz w:val="24"/>
                <w:szCs w:val="24"/>
              </w:rPr>
            </w:pPr>
            <w:r>
              <w:rPr>
                <w:rFonts w:hint="eastAsia" w:ascii="宋体" w:hAnsi="宋体" w:eastAsia="宋体" w:cs="宋体"/>
                <w:i w:val="0"/>
                <w:caps w:val="0"/>
                <w:color w:val="000000"/>
                <w:spacing w:val="0"/>
                <w:sz w:val="24"/>
                <w:szCs w:val="24"/>
              </w:rPr>
              <w:t> </w:t>
            </w:r>
            <w:r>
              <w:rPr>
                <w:rFonts w:hint="eastAsia" w:ascii="宋体" w:hAnsi="宋体" w:eastAsia="宋体" w:cs="宋体"/>
                <w:color w:val="000000"/>
                <w:sz w:val="24"/>
                <w:szCs w:val="24"/>
              </w:rPr>
              <w:t>《</w:t>
            </w:r>
            <w:r>
              <w:rPr>
                <w:rFonts w:hint="eastAsia" w:ascii="宋体" w:hAnsi="宋体" w:eastAsia="宋体" w:cs="宋体"/>
                <w:color w:val="000000"/>
                <w:kern w:val="0"/>
                <w:sz w:val="24"/>
                <w:szCs w:val="24"/>
              </w:rPr>
              <w:t>水质 五日生化需氧量BOD</w:t>
            </w:r>
            <w:r>
              <w:rPr>
                <w:rFonts w:hint="eastAsia" w:ascii="宋体" w:hAnsi="宋体" w:eastAsia="宋体" w:cs="宋体"/>
                <w:color w:val="000000"/>
                <w:kern w:val="0"/>
                <w:sz w:val="24"/>
                <w:szCs w:val="24"/>
                <w:vertAlign w:val="subscript"/>
              </w:rPr>
              <w:t>5</w:t>
            </w:r>
            <w:r>
              <w:rPr>
                <w:rFonts w:hint="eastAsia" w:ascii="宋体" w:hAnsi="宋体" w:eastAsia="宋体" w:cs="宋体"/>
                <w:color w:val="000000"/>
                <w:kern w:val="0"/>
                <w:sz w:val="24"/>
                <w:szCs w:val="24"/>
              </w:rPr>
              <w:t>的测定 稀释与接种法</w:t>
            </w:r>
            <w:r>
              <w:rPr>
                <w:rFonts w:hint="eastAsia" w:ascii="宋体" w:hAnsi="宋体" w:eastAsia="宋体" w:cs="宋体"/>
                <w:color w:val="000000"/>
                <w:sz w:val="24"/>
                <w:szCs w:val="24"/>
              </w:rPr>
              <w:t>》</w:t>
            </w:r>
          </w:p>
          <w:p w14:paraId="605CEA26">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color w:val="000000"/>
                <w:kern w:val="0"/>
                <w:sz w:val="24"/>
                <w:szCs w:val="24"/>
              </w:rPr>
              <w:t>HJ 505-2009</w:t>
            </w:r>
          </w:p>
        </w:tc>
        <w:tc>
          <w:tcPr>
            <w:tcW w:w="3080" w:type="dxa"/>
            <w:noWrap w:val="0"/>
            <w:vAlign w:val="top"/>
          </w:tcPr>
          <w:p w14:paraId="0D7DD4C6">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color w:val="000000"/>
                <w:kern w:val="2"/>
                <w:sz w:val="24"/>
                <w:szCs w:val="24"/>
              </w:rPr>
              <w:t>生化培养箱</w:t>
            </w:r>
          </w:p>
        </w:tc>
        <w:tc>
          <w:tcPr>
            <w:tcW w:w="1908" w:type="dxa"/>
            <w:noWrap w:val="0"/>
            <w:vAlign w:val="top"/>
          </w:tcPr>
          <w:p w14:paraId="67FD4034">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0.5mg/L</w:t>
            </w:r>
          </w:p>
        </w:tc>
      </w:tr>
      <w:tr w14:paraId="3A834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14:paraId="1B669AA8">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b w:val="0"/>
                <w:bCs w:val="0"/>
                <w:sz w:val="24"/>
                <w:szCs w:val="24"/>
                <w:lang w:val="en-US" w:eastAsia="zh-CN"/>
              </w:rPr>
              <w:t>阴离子表面活性剂（LAS）</w:t>
            </w:r>
          </w:p>
        </w:tc>
        <w:tc>
          <w:tcPr>
            <w:tcW w:w="2868" w:type="dxa"/>
            <w:noWrap w:val="0"/>
            <w:vAlign w:val="top"/>
          </w:tcPr>
          <w:p w14:paraId="6AB92374">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highlight w:val="none"/>
              </w:rPr>
              <w:t>《水质 阴离子表面活性剂的测定亚甲蓝分光光度法》GB 7494-1987</w:t>
            </w:r>
          </w:p>
        </w:tc>
        <w:tc>
          <w:tcPr>
            <w:tcW w:w="3080" w:type="dxa"/>
            <w:noWrap w:val="0"/>
            <w:vAlign w:val="top"/>
          </w:tcPr>
          <w:p w14:paraId="6850F6AA">
            <w:pPr>
              <w:pStyle w:val="9"/>
              <w:keepNext w:val="0"/>
              <w:keepLines w:val="0"/>
              <w:pageBreakBefore w:val="0"/>
              <w:kinsoku/>
              <w:wordWrap/>
              <w:autoSpaceDE/>
              <w:bidi w:val="0"/>
              <w:spacing w:line="240" w:lineRule="exact"/>
              <w:jc w:val="center"/>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rPr>
              <w:t>紫外可见分光</w:t>
            </w:r>
          </w:p>
          <w:p w14:paraId="435F1D29">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color w:val="000000"/>
                <w:kern w:val="2"/>
                <w:sz w:val="21"/>
                <w:szCs w:val="21"/>
              </w:rPr>
              <w:t>光度计</w:t>
            </w:r>
          </w:p>
        </w:tc>
        <w:tc>
          <w:tcPr>
            <w:tcW w:w="1908" w:type="dxa"/>
            <w:noWrap w:val="0"/>
            <w:vAlign w:val="top"/>
          </w:tcPr>
          <w:p w14:paraId="35AC746C">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0.05mg/L</w:t>
            </w:r>
          </w:p>
        </w:tc>
      </w:tr>
      <w:tr w14:paraId="17041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14:paraId="25B9C0DD">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b w:val="0"/>
                <w:bCs w:val="0"/>
                <w:sz w:val="24"/>
                <w:szCs w:val="24"/>
                <w:lang w:val="en-US" w:eastAsia="zh-CN"/>
              </w:rPr>
              <w:t>总铬</w:t>
            </w:r>
          </w:p>
        </w:tc>
        <w:tc>
          <w:tcPr>
            <w:tcW w:w="2868" w:type="dxa"/>
            <w:noWrap w:val="0"/>
            <w:vAlign w:val="top"/>
          </w:tcPr>
          <w:p w14:paraId="652DD892">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highlight w:val="none"/>
                <w:lang w:val="en-US" w:eastAsia="zh-CN"/>
              </w:rPr>
            </w:pPr>
            <w:r>
              <w:rPr>
                <w:rFonts w:hint="eastAsia" w:ascii="宋体" w:hAnsi="宋体" w:eastAsia="宋体" w:cs="宋体"/>
                <w:color w:val="000000"/>
                <w:sz w:val="24"/>
                <w:szCs w:val="24"/>
                <w:highlight w:val="none"/>
              </w:rPr>
              <w:t>《水质 铬的测定 火焰原子吸收分光光度法》HJ 757-2015</w:t>
            </w:r>
          </w:p>
        </w:tc>
        <w:tc>
          <w:tcPr>
            <w:tcW w:w="3080" w:type="dxa"/>
            <w:noWrap w:val="0"/>
            <w:vAlign w:val="top"/>
          </w:tcPr>
          <w:p w14:paraId="5D73BB6E">
            <w:pPr>
              <w:pStyle w:val="9"/>
              <w:keepNext w:val="0"/>
              <w:keepLines w:val="0"/>
              <w:pageBreakBefore w:val="0"/>
              <w:kinsoku/>
              <w:wordWrap/>
              <w:autoSpaceDE/>
              <w:bidi w:val="0"/>
              <w:spacing w:line="240" w:lineRule="exact"/>
              <w:jc w:val="center"/>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rPr>
              <w:t>原子吸收分光</w:t>
            </w:r>
          </w:p>
          <w:p w14:paraId="4C39FF91">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color w:val="000000"/>
                <w:kern w:val="2"/>
                <w:sz w:val="21"/>
                <w:szCs w:val="21"/>
              </w:rPr>
              <w:t>光度计</w:t>
            </w:r>
          </w:p>
        </w:tc>
        <w:tc>
          <w:tcPr>
            <w:tcW w:w="1908" w:type="dxa"/>
            <w:noWrap w:val="0"/>
            <w:vAlign w:val="top"/>
          </w:tcPr>
          <w:p w14:paraId="31F45C2B">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0.03mg/L</w:t>
            </w:r>
          </w:p>
        </w:tc>
      </w:tr>
      <w:tr w14:paraId="5B4FC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14:paraId="0B60535E">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b w:val="0"/>
                <w:bCs w:val="0"/>
                <w:sz w:val="24"/>
                <w:szCs w:val="24"/>
                <w:lang w:val="en-US" w:eastAsia="zh-CN"/>
              </w:rPr>
              <w:t>总汞</w:t>
            </w:r>
          </w:p>
        </w:tc>
        <w:tc>
          <w:tcPr>
            <w:tcW w:w="2868" w:type="dxa"/>
            <w:noWrap w:val="0"/>
            <w:vAlign w:val="top"/>
          </w:tcPr>
          <w:p w14:paraId="6DD473BC">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default" w:ascii="宋体" w:hAnsi="宋体" w:eastAsia="宋体" w:cs="宋体"/>
                <w:sz w:val="24"/>
                <w:szCs w:val="24"/>
                <w:highlight w:val="none"/>
                <w:lang w:val="en-US" w:eastAsia="zh-CN"/>
              </w:rPr>
            </w:pPr>
            <w:r>
              <w:rPr>
                <w:rFonts w:hint="eastAsia" w:ascii="宋体" w:hAnsi="宋体" w:eastAsia="宋体" w:cs="宋体"/>
                <w:color w:val="000000"/>
                <w:sz w:val="24"/>
                <w:szCs w:val="24"/>
                <w:highlight w:val="none"/>
              </w:rPr>
              <w:t>《水质 汞、砷、硒、铋和锑的测定 原子荧光法》HJ 694-2014</w:t>
            </w:r>
          </w:p>
        </w:tc>
        <w:tc>
          <w:tcPr>
            <w:tcW w:w="3080" w:type="dxa"/>
            <w:noWrap w:val="0"/>
            <w:vAlign w:val="top"/>
          </w:tcPr>
          <w:p w14:paraId="58DA5443">
            <w:pPr>
              <w:pStyle w:val="9"/>
              <w:keepNext w:val="0"/>
              <w:keepLines w:val="0"/>
              <w:pageBreakBefore w:val="0"/>
              <w:kinsoku/>
              <w:wordWrap/>
              <w:autoSpaceDE/>
              <w:bidi w:val="0"/>
              <w:spacing w:line="240" w:lineRule="exact"/>
              <w:jc w:val="center"/>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rPr>
              <w:t>原子荧光分光</w:t>
            </w:r>
          </w:p>
          <w:p w14:paraId="6BCD112B">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color w:val="000000"/>
                <w:kern w:val="2"/>
                <w:sz w:val="21"/>
                <w:szCs w:val="21"/>
              </w:rPr>
              <w:t>光度计</w:t>
            </w:r>
          </w:p>
        </w:tc>
        <w:tc>
          <w:tcPr>
            <w:tcW w:w="1908" w:type="dxa"/>
            <w:noWrap w:val="0"/>
            <w:vAlign w:val="top"/>
          </w:tcPr>
          <w:p w14:paraId="57A5991A">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0.0004mg/L</w:t>
            </w:r>
          </w:p>
        </w:tc>
      </w:tr>
      <w:tr w14:paraId="02306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14:paraId="15716B09">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b w:val="0"/>
                <w:bCs w:val="0"/>
                <w:sz w:val="24"/>
                <w:szCs w:val="24"/>
                <w:lang w:val="en-US" w:eastAsia="zh-CN"/>
              </w:rPr>
              <w:t>总铅</w:t>
            </w:r>
          </w:p>
        </w:tc>
        <w:tc>
          <w:tcPr>
            <w:tcW w:w="2868" w:type="dxa"/>
            <w:noWrap w:val="0"/>
            <w:vAlign w:val="center"/>
          </w:tcPr>
          <w:p w14:paraId="63D68B67">
            <w:pPr>
              <w:jc w:val="center"/>
              <w:rPr>
                <w:rFonts w:hint="eastAsia" w:ascii="宋体" w:hAnsi="宋体" w:eastAsia="宋体" w:cs="宋体"/>
                <w:sz w:val="24"/>
                <w:szCs w:val="24"/>
                <w:highlight w:val="none"/>
                <w:lang w:val="en-US" w:eastAsia="zh-CN"/>
              </w:rPr>
            </w:pPr>
            <w:r>
              <w:rPr>
                <w:rFonts w:hint="eastAsia" w:ascii="宋体" w:hAnsi="宋体" w:eastAsia="宋体" w:cs="宋体"/>
                <w:color w:val="000000"/>
                <w:sz w:val="24"/>
                <w:szCs w:val="24"/>
                <w:highlight w:val="none"/>
              </w:rPr>
              <w:t>《</w:t>
            </w:r>
            <w:r>
              <w:rPr>
                <w:rFonts w:hint="eastAsia" w:ascii="宋体" w:hAnsi="宋体" w:eastAsia="宋体" w:cs="宋体"/>
                <w:color w:val="000000"/>
                <w:kern w:val="0"/>
                <w:sz w:val="24"/>
                <w:szCs w:val="24"/>
                <w:highlight w:val="none"/>
                <w:lang w:val="en-US" w:eastAsia="zh-CN" w:bidi="ar"/>
              </w:rPr>
              <w:t>水质 铅 石墨炉原子吸收法《水和废水监测分析方法》 (第四版 增补版) 第三篇 第四章 七（四）国家环境保护总局（2002 年）</w:t>
            </w:r>
            <w:r>
              <w:rPr>
                <w:rFonts w:hint="eastAsia" w:ascii="宋体" w:hAnsi="宋体" w:eastAsia="宋体" w:cs="宋体"/>
                <w:color w:val="000000"/>
                <w:sz w:val="24"/>
                <w:szCs w:val="24"/>
                <w:highlight w:val="none"/>
              </w:rPr>
              <w:t>》</w:t>
            </w:r>
          </w:p>
        </w:tc>
        <w:tc>
          <w:tcPr>
            <w:tcW w:w="3080" w:type="dxa"/>
            <w:noWrap w:val="0"/>
            <w:vAlign w:val="center"/>
          </w:tcPr>
          <w:p w14:paraId="1BDAE271">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原子吸收分光光度计</w:t>
            </w:r>
          </w:p>
          <w:p w14:paraId="1369FB70">
            <w:pPr>
              <w:snapToGrid w:val="0"/>
              <w:jc w:val="center"/>
              <w:textAlignment w:val="center"/>
              <w:rPr>
                <w:rFonts w:hint="eastAsia" w:ascii="宋体" w:hAnsi="宋体" w:eastAsia="宋体" w:cs="宋体"/>
                <w:sz w:val="24"/>
                <w:szCs w:val="24"/>
                <w:vertAlign w:val="baseline"/>
                <w:lang w:val="en-US" w:eastAsia="zh-CN"/>
              </w:rPr>
            </w:pPr>
          </w:p>
        </w:tc>
        <w:tc>
          <w:tcPr>
            <w:tcW w:w="1908" w:type="dxa"/>
            <w:noWrap w:val="0"/>
            <w:vAlign w:val="top"/>
          </w:tcPr>
          <w:p w14:paraId="77BB8228">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0.001mg/L</w:t>
            </w:r>
          </w:p>
        </w:tc>
      </w:tr>
      <w:tr w14:paraId="71AA7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14:paraId="10670E2B">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b w:val="0"/>
                <w:bCs w:val="0"/>
                <w:sz w:val="24"/>
                <w:szCs w:val="24"/>
                <w:lang w:val="en-US" w:eastAsia="zh-CN"/>
              </w:rPr>
              <w:t>总砷</w:t>
            </w:r>
          </w:p>
        </w:tc>
        <w:tc>
          <w:tcPr>
            <w:tcW w:w="2868" w:type="dxa"/>
            <w:noWrap w:val="0"/>
            <w:vAlign w:val="center"/>
          </w:tcPr>
          <w:p w14:paraId="6C157E5E">
            <w:pPr>
              <w:keepNext w:val="0"/>
              <w:keepLines w:val="0"/>
              <w:pageBreakBefore w:val="0"/>
              <w:kinsoku/>
              <w:wordWrap/>
              <w:overflowPunct/>
              <w:topLinePunct w:val="0"/>
              <w:autoSpaceDE/>
              <w:autoSpaceDN/>
              <w:bidi w:val="0"/>
              <w:spacing w:line="240" w:lineRule="auto"/>
              <w:jc w:val="center"/>
              <w:rPr>
                <w:rFonts w:hint="eastAsia" w:ascii="宋体" w:hAnsi="宋体" w:eastAsia="宋体" w:cs="宋体"/>
                <w:sz w:val="24"/>
                <w:szCs w:val="24"/>
                <w:highlight w:val="none"/>
                <w:lang w:val="en-US" w:eastAsia="zh-CN"/>
              </w:rPr>
            </w:pPr>
            <w:r>
              <w:rPr>
                <w:rFonts w:hint="eastAsia" w:ascii="宋体" w:hAnsi="宋体" w:eastAsia="宋体" w:cs="宋体"/>
                <w:color w:val="000000"/>
                <w:sz w:val="24"/>
                <w:szCs w:val="24"/>
                <w:highlight w:val="none"/>
              </w:rPr>
              <w:t>《水质 汞、砷、硒、铋和锑的测定</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原子荧光法》HJ 694-2014</w:t>
            </w:r>
          </w:p>
        </w:tc>
        <w:tc>
          <w:tcPr>
            <w:tcW w:w="3080" w:type="dxa"/>
            <w:noWrap w:val="0"/>
            <w:vAlign w:val="center"/>
          </w:tcPr>
          <w:p w14:paraId="1FA3E2FC">
            <w:pPr>
              <w:pStyle w:val="9"/>
              <w:keepNext w:val="0"/>
              <w:keepLines w:val="0"/>
              <w:pageBreakBefore w:val="0"/>
              <w:kinsoku/>
              <w:wordWrap/>
              <w:autoSpaceDE/>
              <w:bidi w:val="0"/>
              <w:spacing w:line="240" w:lineRule="exact"/>
              <w:jc w:val="center"/>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rPr>
              <w:t>原子荧光分光</w:t>
            </w:r>
          </w:p>
          <w:p w14:paraId="5C6928A9">
            <w:pPr>
              <w:keepNext w:val="0"/>
              <w:keepLines w:val="0"/>
              <w:pageBreakBefore w:val="0"/>
              <w:kinsoku/>
              <w:wordWrap/>
              <w:overflowPunct/>
              <w:topLinePunct w:val="0"/>
              <w:autoSpaceDE/>
              <w:autoSpaceDN/>
              <w:bidi w:val="0"/>
              <w:adjustRightInd/>
              <w:snapToGrid w:val="0"/>
              <w:spacing w:line="240" w:lineRule="auto"/>
              <w:jc w:val="center"/>
              <w:textAlignment w:val="center"/>
              <w:rPr>
                <w:rFonts w:hint="eastAsia" w:ascii="宋体" w:hAnsi="宋体" w:eastAsia="宋体" w:cs="宋体"/>
                <w:sz w:val="24"/>
                <w:szCs w:val="24"/>
                <w:vertAlign w:val="baseline"/>
                <w:lang w:val="en-US" w:eastAsia="zh-CN"/>
              </w:rPr>
            </w:pPr>
            <w:r>
              <w:rPr>
                <w:rFonts w:hint="eastAsia" w:ascii="宋体" w:hAnsi="宋体" w:eastAsia="宋体" w:cs="宋体"/>
                <w:color w:val="000000"/>
                <w:kern w:val="2"/>
                <w:sz w:val="21"/>
                <w:szCs w:val="21"/>
              </w:rPr>
              <w:t>光度计</w:t>
            </w:r>
          </w:p>
        </w:tc>
        <w:tc>
          <w:tcPr>
            <w:tcW w:w="1908" w:type="dxa"/>
            <w:noWrap w:val="0"/>
            <w:vAlign w:val="top"/>
          </w:tcPr>
          <w:p w14:paraId="5F014942">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0.0003mg/L</w:t>
            </w:r>
          </w:p>
        </w:tc>
      </w:tr>
      <w:tr w14:paraId="67DED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14:paraId="2865147B">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b w:val="0"/>
                <w:bCs w:val="0"/>
                <w:sz w:val="24"/>
                <w:szCs w:val="24"/>
                <w:lang w:val="en-US" w:eastAsia="zh-CN"/>
              </w:rPr>
              <w:t>总镉</w:t>
            </w:r>
          </w:p>
        </w:tc>
        <w:tc>
          <w:tcPr>
            <w:tcW w:w="2868" w:type="dxa"/>
            <w:noWrap w:val="0"/>
            <w:vAlign w:val="center"/>
          </w:tcPr>
          <w:p w14:paraId="79266549">
            <w:pPr>
              <w:keepNext w:val="0"/>
              <w:keepLines w:val="0"/>
              <w:pageBreakBefore w:val="0"/>
              <w:kinsoku/>
              <w:wordWrap/>
              <w:overflowPunct/>
              <w:topLinePunct w:val="0"/>
              <w:autoSpaceDE/>
              <w:autoSpaceDN/>
              <w:bidi w:val="0"/>
              <w:adjustRightInd/>
              <w:snapToGrid w:val="0"/>
              <w:spacing w:line="240" w:lineRule="auto"/>
              <w:jc w:val="center"/>
              <w:textAlignment w:val="center"/>
              <w:rPr>
                <w:rFonts w:hint="eastAsia" w:ascii="宋体" w:hAnsi="宋体" w:eastAsia="宋体" w:cs="宋体"/>
                <w:sz w:val="24"/>
                <w:szCs w:val="24"/>
                <w:highlight w:val="none"/>
                <w:lang w:val="en-US" w:eastAsia="zh-CN"/>
              </w:rPr>
            </w:pPr>
            <w:r>
              <w:rPr>
                <w:rFonts w:hint="eastAsia" w:ascii="宋体" w:hAnsi="宋体" w:eastAsia="宋体" w:cs="宋体"/>
                <w:color w:val="000000"/>
                <w:sz w:val="28"/>
                <w:szCs w:val="28"/>
                <w:highlight w:val="none"/>
              </w:rPr>
              <w:t>《</w:t>
            </w:r>
            <w:r>
              <w:rPr>
                <w:rFonts w:hint="eastAsia" w:ascii="宋体" w:hAnsi="宋体" w:eastAsia="宋体" w:cs="宋体"/>
                <w:color w:val="000000"/>
                <w:kern w:val="0"/>
                <w:sz w:val="28"/>
                <w:szCs w:val="28"/>
                <w:highlight w:val="none"/>
                <w:lang w:val="en-US" w:eastAsia="zh-CN" w:bidi="ar"/>
              </w:rPr>
              <w:t>水质 镉 石墨炉原子吸收法 《水和废水监测分析方法》(第四版 增补版) 第三篇 第四章 七（四）国家环境保护总局（2002 年）</w:t>
            </w:r>
            <w:r>
              <w:rPr>
                <w:rFonts w:hint="eastAsia" w:ascii="宋体" w:hAnsi="宋体" w:eastAsia="宋体" w:cs="宋体"/>
                <w:color w:val="000000"/>
                <w:sz w:val="28"/>
                <w:szCs w:val="28"/>
                <w:highlight w:val="none"/>
              </w:rPr>
              <w:t>》</w:t>
            </w:r>
          </w:p>
        </w:tc>
        <w:tc>
          <w:tcPr>
            <w:tcW w:w="3080" w:type="dxa"/>
            <w:noWrap w:val="0"/>
            <w:vAlign w:val="center"/>
          </w:tcPr>
          <w:p w14:paraId="75E562EA">
            <w:pPr>
              <w:keepNext w:val="0"/>
              <w:keepLines w:val="0"/>
              <w:pageBreakBefore w:val="0"/>
              <w:kinsoku/>
              <w:wordWrap/>
              <w:overflowPunct/>
              <w:topLinePunct w:val="0"/>
              <w:autoSpaceDE/>
              <w:autoSpaceDN/>
              <w:bidi w:val="0"/>
              <w:adjustRightInd/>
              <w:snapToGrid w:val="0"/>
              <w:spacing w:line="240" w:lineRule="auto"/>
              <w:jc w:val="center"/>
              <w:textAlignment w:val="center"/>
              <w:rPr>
                <w:rFonts w:hint="eastAsia" w:ascii="宋体" w:hAnsi="宋体" w:eastAsia="宋体" w:cs="宋体"/>
                <w:sz w:val="24"/>
                <w:szCs w:val="24"/>
              </w:rPr>
            </w:pPr>
            <w:r>
              <w:rPr>
                <w:rFonts w:hint="eastAsia" w:ascii="宋体" w:hAnsi="宋体" w:eastAsia="宋体" w:cs="宋体"/>
                <w:sz w:val="24"/>
                <w:szCs w:val="24"/>
              </w:rPr>
              <w:t>原子吸收分光光度计</w:t>
            </w:r>
          </w:p>
          <w:p w14:paraId="165C179A">
            <w:pPr>
              <w:keepNext w:val="0"/>
              <w:keepLines w:val="0"/>
              <w:pageBreakBefore w:val="0"/>
              <w:kinsoku/>
              <w:wordWrap/>
              <w:overflowPunct/>
              <w:topLinePunct w:val="0"/>
              <w:autoSpaceDE/>
              <w:autoSpaceDN/>
              <w:bidi w:val="0"/>
              <w:adjustRightInd/>
              <w:snapToGrid w:val="0"/>
              <w:spacing w:line="240" w:lineRule="auto"/>
              <w:jc w:val="center"/>
              <w:textAlignment w:val="center"/>
              <w:rPr>
                <w:rFonts w:hint="eastAsia" w:ascii="宋体" w:hAnsi="宋体" w:eastAsia="宋体" w:cs="宋体"/>
                <w:sz w:val="24"/>
                <w:szCs w:val="24"/>
                <w:vertAlign w:val="baseline"/>
                <w:lang w:val="en-US" w:eastAsia="zh-CN"/>
              </w:rPr>
            </w:pPr>
          </w:p>
        </w:tc>
        <w:tc>
          <w:tcPr>
            <w:tcW w:w="1908" w:type="dxa"/>
            <w:noWrap w:val="0"/>
            <w:vAlign w:val="top"/>
          </w:tcPr>
          <w:p w14:paraId="2B46707B">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0.0001mg/L</w:t>
            </w:r>
          </w:p>
        </w:tc>
      </w:tr>
      <w:tr w14:paraId="5416F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14:paraId="299FD644">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b w:val="0"/>
                <w:bCs w:val="0"/>
                <w:sz w:val="24"/>
                <w:szCs w:val="24"/>
                <w:lang w:val="en-US" w:eastAsia="zh-CN"/>
              </w:rPr>
              <w:t>氨（氨气）</w:t>
            </w:r>
          </w:p>
        </w:tc>
        <w:tc>
          <w:tcPr>
            <w:tcW w:w="2868" w:type="dxa"/>
            <w:noWrap w:val="0"/>
            <w:vAlign w:val="center"/>
          </w:tcPr>
          <w:p w14:paraId="4A42FDE2">
            <w:pPr>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《环境空气和废气 氨的测定 纳氏试剂分光光度法》HJ 533-2009</w:t>
            </w:r>
          </w:p>
        </w:tc>
        <w:tc>
          <w:tcPr>
            <w:tcW w:w="3080" w:type="dxa"/>
            <w:noWrap w:val="0"/>
            <w:vAlign w:val="center"/>
          </w:tcPr>
          <w:p w14:paraId="219AA485">
            <w:pPr>
              <w:snapToGrid w:val="0"/>
              <w:jc w:val="center"/>
              <w:textAlignment w:val="center"/>
              <w:rPr>
                <w:rFonts w:hint="eastAsia" w:ascii="宋体" w:hAnsi="宋体" w:eastAsia="宋体" w:cs="宋体"/>
                <w:sz w:val="24"/>
                <w:szCs w:val="24"/>
                <w:vertAlign w:val="baseline"/>
                <w:lang w:val="en-US" w:eastAsia="zh-CN"/>
              </w:rPr>
            </w:pPr>
            <w:r>
              <w:rPr>
                <w:rFonts w:hint="eastAsia" w:ascii="宋体" w:hAnsi="宋体" w:eastAsia="宋体" w:cs="宋体"/>
                <w:sz w:val="21"/>
                <w:szCs w:val="21"/>
              </w:rPr>
              <w:t>紫外可见分光光度计</w:t>
            </w:r>
          </w:p>
        </w:tc>
        <w:tc>
          <w:tcPr>
            <w:tcW w:w="1908" w:type="dxa"/>
            <w:noWrap w:val="0"/>
            <w:vAlign w:val="top"/>
          </w:tcPr>
          <w:p w14:paraId="7556D73F">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0.01mg/m3</w:t>
            </w:r>
          </w:p>
        </w:tc>
      </w:tr>
      <w:tr w14:paraId="7C127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14:paraId="76171438">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b w:val="0"/>
                <w:bCs w:val="0"/>
                <w:sz w:val="24"/>
                <w:szCs w:val="24"/>
                <w:lang w:val="en-US" w:eastAsia="zh-CN"/>
              </w:rPr>
              <w:t>臭氧浓度</w:t>
            </w:r>
          </w:p>
        </w:tc>
        <w:tc>
          <w:tcPr>
            <w:tcW w:w="2868" w:type="dxa"/>
            <w:noWrap w:val="0"/>
            <w:vAlign w:val="center"/>
          </w:tcPr>
          <w:p w14:paraId="7130A1DD">
            <w:pPr>
              <w:jc w:val="center"/>
              <w:rPr>
                <w:rFonts w:hint="eastAsia" w:ascii="宋体" w:hAnsi="宋体" w:eastAsia="宋体" w:cs="Times New Roman"/>
                <w:color w:val="000000"/>
                <w:szCs w:val="21"/>
                <w:lang w:val="en-US" w:eastAsia="zh-CN"/>
              </w:rPr>
            </w:pPr>
            <w:r>
              <w:rPr>
                <w:rFonts w:hint="eastAsia" w:ascii="宋体" w:hAnsi="宋体" w:eastAsia="宋体" w:cs="Times New Roman"/>
                <w:color w:val="000000"/>
                <w:szCs w:val="21"/>
                <w:lang w:val="en-US" w:eastAsia="zh-CN"/>
              </w:rPr>
              <w:t>《环境空气和废气 臭气的测定 三点比较式臭袋法》</w:t>
            </w:r>
          </w:p>
          <w:p w14:paraId="14E49545">
            <w:pPr>
              <w:pStyle w:val="11"/>
              <w:rPr>
                <w:rFonts w:hint="eastAsia" w:ascii="宋体" w:hAnsi="宋体" w:eastAsia="宋体" w:cs="宋体"/>
                <w:sz w:val="24"/>
                <w:szCs w:val="24"/>
                <w:highlight w:val="none"/>
                <w:lang w:val="en-US" w:eastAsia="zh-CN"/>
              </w:rPr>
            </w:pPr>
            <w:r>
              <w:rPr>
                <w:rFonts w:hint="eastAsia" w:ascii="宋体" w:hAnsi="宋体" w:eastAsia="宋体" w:cs="Times New Roman"/>
                <w:color w:val="000000"/>
                <w:szCs w:val="21"/>
                <w:lang w:val="en-US" w:eastAsia="zh-CN"/>
              </w:rPr>
              <w:t xml:space="preserve"> HJ 1262-2022</w:t>
            </w:r>
          </w:p>
        </w:tc>
        <w:tc>
          <w:tcPr>
            <w:tcW w:w="3080" w:type="dxa"/>
            <w:noWrap w:val="0"/>
            <w:vAlign w:val="center"/>
          </w:tcPr>
          <w:p w14:paraId="24F97FB8">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rPr>
              <w:t>/</w:t>
            </w:r>
          </w:p>
        </w:tc>
        <w:tc>
          <w:tcPr>
            <w:tcW w:w="1908" w:type="dxa"/>
            <w:noWrap w:val="0"/>
            <w:vAlign w:val="top"/>
          </w:tcPr>
          <w:p w14:paraId="191E4C22">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10</w:t>
            </w:r>
          </w:p>
        </w:tc>
      </w:tr>
      <w:tr w14:paraId="6D81F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68" w:type="dxa"/>
            <w:noWrap w:val="0"/>
            <w:vAlign w:val="top"/>
          </w:tcPr>
          <w:p w14:paraId="63BDFF8F">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b w:val="0"/>
                <w:bCs w:val="0"/>
                <w:sz w:val="24"/>
                <w:szCs w:val="24"/>
                <w:lang w:val="en-US" w:eastAsia="zh-CN"/>
              </w:rPr>
              <w:t>硫化氢</w:t>
            </w:r>
          </w:p>
        </w:tc>
        <w:tc>
          <w:tcPr>
            <w:tcW w:w="2868" w:type="dxa"/>
            <w:noWrap w:val="0"/>
            <w:vAlign w:val="center"/>
          </w:tcPr>
          <w:p w14:paraId="607FB6AE">
            <w:pPr>
              <w:jc w:val="center"/>
              <w:rPr>
                <w:rFonts w:hint="eastAsia" w:ascii="宋体" w:hAnsi="宋体" w:eastAsia="宋体" w:cs="宋体"/>
                <w:sz w:val="24"/>
                <w:szCs w:val="24"/>
                <w:lang w:val="en-US" w:eastAsia="zh-CN"/>
              </w:rPr>
            </w:pPr>
            <w:r>
              <w:rPr>
                <w:rFonts w:hint="eastAsia" w:ascii="宋体" w:hAnsi="宋体" w:eastAsia="宋体" w:cs="宋体"/>
                <w:sz w:val="24"/>
                <w:szCs w:val="24"/>
              </w:rPr>
              <w:t>《空气和废气监测分析方法  第四版增补版国家环境保护总局》（2003年）3.1.11.2</w:t>
            </w:r>
          </w:p>
        </w:tc>
        <w:tc>
          <w:tcPr>
            <w:tcW w:w="3080" w:type="dxa"/>
            <w:noWrap w:val="0"/>
            <w:vAlign w:val="center"/>
          </w:tcPr>
          <w:p w14:paraId="0A66F357">
            <w:pPr>
              <w:snapToGrid w:val="0"/>
              <w:jc w:val="center"/>
              <w:textAlignment w:val="center"/>
              <w:rPr>
                <w:rFonts w:hint="eastAsia" w:ascii="宋体" w:hAnsi="宋体" w:eastAsia="宋体" w:cs="宋体"/>
                <w:sz w:val="24"/>
                <w:szCs w:val="24"/>
                <w:vertAlign w:val="baseline"/>
                <w:lang w:val="en-US" w:eastAsia="zh-CN"/>
              </w:rPr>
            </w:pPr>
            <w:r>
              <w:rPr>
                <w:rFonts w:hint="eastAsia" w:ascii="宋体" w:hAnsi="宋体" w:eastAsia="宋体" w:cs="宋体"/>
                <w:sz w:val="21"/>
                <w:szCs w:val="21"/>
              </w:rPr>
              <w:t>紫外可见分光光度计</w:t>
            </w:r>
          </w:p>
        </w:tc>
        <w:tc>
          <w:tcPr>
            <w:tcW w:w="1908" w:type="dxa"/>
            <w:noWrap w:val="0"/>
            <w:vAlign w:val="top"/>
          </w:tcPr>
          <w:p w14:paraId="06051953">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0.001mg/m3</w:t>
            </w:r>
          </w:p>
        </w:tc>
      </w:tr>
      <w:tr w14:paraId="622CD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14:paraId="4DA620B8">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firstLine="240" w:firstLineChars="1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b w:val="0"/>
                <w:bCs w:val="0"/>
                <w:sz w:val="24"/>
                <w:szCs w:val="24"/>
                <w:lang w:val="en-US" w:eastAsia="zh-CN"/>
              </w:rPr>
              <w:t>甲烷</w:t>
            </w:r>
          </w:p>
        </w:tc>
        <w:tc>
          <w:tcPr>
            <w:tcW w:w="2868" w:type="dxa"/>
            <w:noWrap w:val="0"/>
            <w:vAlign w:val="center"/>
          </w:tcPr>
          <w:p w14:paraId="46FF3D7A">
            <w:pPr>
              <w:keepNext w:val="0"/>
              <w:keepLines w:val="0"/>
              <w:pageBreakBefore w:val="0"/>
              <w:kinsoku/>
              <w:wordWrap/>
              <w:overflowPunct/>
              <w:topLinePunct w:val="0"/>
              <w:autoSpaceDE/>
              <w:autoSpaceDN/>
              <w:bidi w:val="0"/>
              <w:adjustRightInd/>
              <w:spacing w:line="260" w:lineRule="exact"/>
              <w:jc w:val="center"/>
              <w:rPr>
                <w:rFonts w:hint="eastAsia" w:ascii="宋体" w:hAnsi="宋体" w:eastAsia="宋体" w:cs="宋体"/>
                <w:color w:val="auto"/>
                <w:kern w:val="0"/>
                <w:sz w:val="24"/>
                <w:szCs w:val="24"/>
              </w:rPr>
            </w:pPr>
            <w:r>
              <w:rPr>
                <w:rFonts w:hint="eastAsia" w:ascii="宋体" w:hAnsi="宋体" w:eastAsia="宋体" w:cs="宋体"/>
                <w:color w:val="auto"/>
                <w:sz w:val="24"/>
                <w:szCs w:val="24"/>
              </w:rPr>
              <w:t>《环境空气 总烃、甲烷和非甲烷总烃的测定 直接进样-气相色谱法</w:t>
            </w:r>
            <w:r>
              <w:rPr>
                <w:rFonts w:hint="eastAsia" w:ascii="宋体" w:hAnsi="宋体" w:eastAsia="宋体" w:cs="宋体"/>
                <w:color w:val="auto"/>
                <w:kern w:val="0"/>
                <w:sz w:val="24"/>
                <w:szCs w:val="24"/>
              </w:rPr>
              <w:t>》</w:t>
            </w:r>
          </w:p>
          <w:p w14:paraId="7C0FBCCA">
            <w:pPr>
              <w:keepNext w:val="0"/>
              <w:keepLines w:val="0"/>
              <w:pageBreakBefore w:val="0"/>
              <w:kinsoku/>
              <w:wordWrap/>
              <w:overflowPunct/>
              <w:topLinePunct w:val="0"/>
              <w:autoSpaceDE/>
              <w:autoSpaceDN/>
              <w:bidi w:val="0"/>
              <w:adjustRightInd/>
              <w:spacing w:line="2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color w:val="auto"/>
                <w:sz w:val="24"/>
                <w:szCs w:val="24"/>
              </w:rPr>
              <w:t>HJ 604-2017</w:t>
            </w:r>
          </w:p>
        </w:tc>
        <w:tc>
          <w:tcPr>
            <w:tcW w:w="3080" w:type="dxa"/>
            <w:noWrap w:val="0"/>
            <w:vAlign w:val="center"/>
          </w:tcPr>
          <w:p w14:paraId="3595BE08">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气相色谱仪</w:t>
            </w:r>
          </w:p>
          <w:p w14:paraId="361F20A3">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宋体" w:hAnsi="宋体" w:eastAsia="宋体" w:cs="宋体"/>
                <w:kern w:val="2"/>
                <w:sz w:val="24"/>
                <w:szCs w:val="24"/>
                <w:lang w:val="en-US" w:eastAsia="zh-CN" w:bidi="ar-SA"/>
              </w:rPr>
            </w:pPr>
          </w:p>
        </w:tc>
        <w:tc>
          <w:tcPr>
            <w:tcW w:w="1908" w:type="dxa"/>
            <w:noWrap w:val="0"/>
            <w:vAlign w:val="top"/>
          </w:tcPr>
          <w:p w14:paraId="3D558655">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0.06mg/m3</w:t>
            </w:r>
          </w:p>
        </w:tc>
      </w:tr>
      <w:tr w14:paraId="0551F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rPr>
        <w:tc>
          <w:tcPr>
            <w:tcW w:w="1468" w:type="dxa"/>
            <w:noWrap w:val="0"/>
            <w:vAlign w:val="top"/>
          </w:tcPr>
          <w:p w14:paraId="33C4F7F8">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b w:val="0"/>
                <w:bCs w:val="0"/>
                <w:sz w:val="24"/>
                <w:szCs w:val="24"/>
                <w:lang w:val="en-US" w:eastAsia="zh-CN"/>
              </w:rPr>
              <w:t>污泥含水率</w:t>
            </w:r>
          </w:p>
        </w:tc>
        <w:tc>
          <w:tcPr>
            <w:tcW w:w="2868" w:type="dxa"/>
            <w:noWrap w:val="0"/>
            <w:vAlign w:val="top"/>
          </w:tcPr>
          <w:p w14:paraId="2279D2C6">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i w:val="0"/>
                <w:caps w:val="0"/>
                <w:color w:val="000000"/>
                <w:spacing w:val="0"/>
                <w:sz w:val="24"/>
                <w:szCs w:val="24"/>
                <w:lang w:eastAsia="zh-CN"/>
              </w:rPr>
              <w:t>《</w:t>
            </w:r>
            <w:r>
              <w:rPr>
                <w:rFonts w:hint="eastAsia" w:ascii="宋体" w:hAnsi="宋体" w:eastAsia="宋体" w:cs="宋体"/>
                <w:i w:val="0"/>
                <w:caps w:val="0"/>
                <w:color w:val="000000"/>
                <w:spacing w:val="0"/>
                <w:sz w:val="24"/>
                <w:szCs w:val="24"/>
                <w:lang w:val="en-US" w:eastAsia="zh-CN"/>
              </w:rPr>
              <w:t>城市污泥 含水率的测定 重量法</w:t>
            </w:r>
            <w:r>
              <w:rPr>
                <w:rFonts w:hint="eastAsia" w:ascii="宋体" w:hAnsi="宋体" w:eastAsia="宋体" w:cs="宋体"/>
                <w:i w:val="0"/>
                <w:caps w:val="0"/>
                <w:color w:val="000000"/>
                <w:spacing w:val="0"/>
                <w:sz w:val="24"/>
                <w:szCs w:val="24"/>
                <w:lang w:eastAsia="zh-CN"/>
              </w:rPr>
              <w:t>）》</w:t>
            </w:r>
            <w:r>
              <w:rPr>
                <w:rFonts w:hint="eastAsia" w:ascii="宋体" w:hAnsi="宋体" w:eastAsia="宋体" w:cs="宋体"/>
                <w:i w:val="0"/>
                <w:caps w:val="0"/>
                <w:color w:val="000000"/>
                <w:spacing w:val="0"/>
                <w:sz w:val="24"/>
                <w:szCs w:val="24"/>
                <w:lang w:val="en-US" w:eastAsia="zh-CN"/>
              </w:rPr>
              <w:t>CJ/T 221-2005</w:t>
            </w:r>
          </w:p>
        </w:tc>
        <w:tc>
          <w:tcPr>
            <w:tcW w:w="3080" w:type="dxa"/>
            <w:noWrap w:val="0"/>
            <w:vAlign w:val="top"/>
          </w:tcPr>
          <w:p w14:paraId="41BB810D">
            <w:pPr>
              <w:keepNext w:val="0"/>
              <w:keepLines w:val="0"/>
              <w:pageBreakBefore w:val="0"/>
              <w:kinsoku/>
              <w:wordWrap/>
              <w:overflowPunct/>
              <w:topLinePunct w:val="0"/>
              <w:autoSpaceDE/>
              <w:autoSpaceDN/>
              <w:bidi w:val="0"/>
              <w:spacing w:line="240" w:lineRule="exact"/>
              <w:jc w:val="center"/>
              <w:rPr>
                <w:rFonts w:hint="eastAsia" w:ascii="宋体" w:hAnsi="宋体" w:eastAsia="宋体"/>
                <w:color w:val="000000"/>
                <w:kern w:val="0"/>
                <w:sz w:val="24"/>
                <w:szCs w:val="24"/>
                <w:lang w:eastAsia="zh-CN"/>
              </w:rPr>
            </w:pPr>
            <w:r>
              <w:rPr>
                <w:rFonts w:ascii="宋体" w:hAnsi="宋体"/>
                <w:color w:val="000000"/>
                <w:kern w:val="0"/>
                <w:sz w:val="24"/>
                <w:szCs w:val="24"/>
              </w:rPr>
              <w:t>电子天</w:t>
            </w:r>
            <w:r>
              <w:rPr>
                <w:rFonts w:hint="eastAsia" w:ascii="宋体" w:hAnsi="宋体"/>
                <w:color w:val="000000"/>
                <w:kern w:val="0"/>
                <w:sz w:val="24"/>
                <w:szCs w:val="24"/>
                <w:lang w:eastAsia="zh-CN"/>
              </w:rPr>
              <w:t>平</w:t>
            </w:r>
          </w:p>
          <w:p w14:paraId="0394D175">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sz w:val="24"/>
                <w:szCs w:val="24"/>
                <w:vertAlign w:val="baseline"/>
                <w:lang w:val="en-US" w:eastAsia="zh-CN"/>
              </w:rPr>
            </w:pPr>
          </w:p>
        </w:tc>
        <w:tc>
          <w:tcPr>
            <w:tcW w:w="1908" w:type="dxa"/>
            <w:noWrap w:val="0"/>
            <w:vAlign w:val="top"/>
          </w:tcPr>
          <w:p w14:paraId="3F62C138">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sz w:val="24"/>
                <w:szCs w:val="24"/>
                <w:lang w:val="en-US" w:eastAsia="zh-CN"/>
              </w:rPr>
            </w:pPr>
          </w:p>
        </w:tc>
      </w:tr>
      <w:tr w14:paraId="30FE3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14:paraId="235852C9">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污泥</w:t>
            </w:r>
            <w:r>
              <w:rPr>
                <w:rStyle w:val="8"/>
                <w:rFonts w:hint="eastAsia" w:ascii="宋体" w:hAnsi="宋体" w:eastAsia="宋体" w:cs="宋体"/>
                <w:kern w:val="2"/>
                <w:sz w:val="24"/>
                <w:szCs w:val="24"/>
                <w:lang w:val="en-US" w:eastAsia="zh-CN" w:bidi="ar-SA"/>
              </w:rPr>
              <w:t>有机物降解率</w:t>
            </w:r>
          </w:p>
        </w:tc>
        <w:tc>
          <w:tcPr>
            <w:tcW w:w="2868" w:type="dxa"/>
            <w:noWrap w:val="0"/>
            <w:vAlign w:val="top"/>
          </w:tcPr>
          <w:p w14:paraId="2EF59B75">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lang w:eastAsia="zh-CN"/>
              </w:rPr>
              <w:t>《</w:t>
            </w:r>
            <w:r>
              <w:rPr>
                <w:rStyle w:val="8"/>
                <w:rFonts w:hint="eastAsia" w:ascii="宋体" w:hAnsi="宋体" w:eastAsia="宋体" w:cs="宋体"/>
                <w:kern w:val="2"/>
                <w:sz w:val="24"/>
                <w:szCs w:val="24"/>
                <w:lang w:val="en-US" w:eastAsia="zh-CN" w:bidi="ar-SA"/>
              </w:rPr>
              <w:t>城市污泥 有机物含量的测定  重量法 CJ/T221-2005城市污水处理厂污泥检验方法</w:t>
            </w:r>
            <w:r>
              <w:rPr>
                <w:rFonts w:hint="eastAsia" w:ascii="宋体" w:hAnsi="宋体" w:eastAsia="宋体" w:cs="宋体"/>
                <w:i w:val="0"/>
                <w:caps w:val="0"/>
                <w:color w:val="000000"/>
                <w:spacing w:val="0"/>
                <w:sz w:val="24"/>
                <w:szCs w:val="24"/>
                <w:lang w:eastAsia="zh-CN"/>
              </w:rPr>
              <w:t>》</w:t>
            </w:r>
          </w:p>
        </w:tc>
        <w:tc>
          <w:tcPr>
            <w:tcW w:w="3080" w:type="dxa"/>
            <w:noWrap w:val="0"/>
            <w:vAlign w:val="top"/>
          </w:tcPr>
          <w:p w14:paraId="17EE1344">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color w:val="000000"/>
                <w:sz w:val="24"/>
                <w:szCs w:val="24"/>
                <w:lang w:val="en-US" w:eastAsia="zh-CN"/>
              </w:rPr>
            </w:pPr>
          </w:p>
        </w:tc>
        <w:tc>
          <w:tcPr>
            <w:tcW w:w="1908" w:type="dxa"/>
            <w:noWrap w:val="0"/>
            <w:vAlign w:val="top"/>
          </w:tcPr>
          <w:p w14:paraId="70D4A9DA">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sz w:val="24"/>
                <w:szCs w:val="24"/>
                <w:lang w:val="en-US" w:eastAsia="zh-CN"/>
              </w:rPr>
            </w:pPr>
          </w:p>
        </w:tc>
      </w:tr>
      <w:tr w14:paraId="7063F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14:paraId="47FBD33C">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污泥</w:t>
            </w:r>
            <w:r>
              <w:rPr>
                <w:rStyle w:val="8"/>
                <w:rFonts w:hint="eastAsia" w:ascii="宋体" w:hAnsi="宋体" w:eastAsia="宋体" w:cs="宋体"/>
                <w:kern w:val="2"/>
                <w:sz w:val="24"/>
                <w:szCs w:val="24"/>
                <w:lang w:val="en-US" w:eastAsia="zh-CN" w:bidi="ar-SA"/>
              </w:rPr>
              <w:t>蠕虫卵死亡率</w:t>
            </w:r>
          </w:p>
        </w:tc>
        <w:tc>
          <w:tcPr>
            <w:tcW w:w="2868" w:type="dxa"/>
            <w:noWrap w:val="0"/>
            <w:vAlign w:val="top"/>
          </w:tcPr>
          <w:p w14:paraId="40683EC9">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i w:val="0"/>
                <w:caps w:val="0"/>
                <w:color w:val="000000"/>
                <w:spacing w:val="0"/>
                <w:sz w:val="24"/>
                <w:szCs w:val="24"/>
                <w:lang w:eastAsia="zh-CN"/>
              </w:rPr>
            </w:pPr>
            <w:r>
              <w:rPr>
                <w:rStyle w:val="8"/>
                <w:rFonts w:hint="eastAsia" w:ascii="宋体" w:hAnsi="宋体" w:eastAsia="宋体" w:cs="宋体"/>
                <w:kern w:val="2"/>
                <w:sz w:val="24"/>
                <w:szCs w:val="24"/>
                <w:lang w:val="en-US" w:eastAsia="zh-CN" w:bidi="ar-SA"/>
              </w:rPr>
              <w:t>《粪便无害化卫生要求（附录H 蠕虫卵死活鉴别方法）》GB 7959-2012</w:t>
            </w:r>
          </w:p>
        </w:tc>
        <w:tc>
          <w:tcPr>
            <w:tcW w:w="3080" w:type="dxa"/>
            <w:noWrap w:val="0"/>
            <w:vAlign w:val="top"/>
          </w:tcPr>
          <w:p w14:paraId="6041C1E8">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color w:val="000000"/>
                <w:sz w:val="24"/>
                <w:szCs w:val="24"/>
                <w:lang w:val="en-US" w:eastAsia="zh-CN"/>
              </w:rPr>
            </w:pPr>
          </w:p>
        </w:tc>
        <w:tc>
          <w:tcPr>
            <w:tcW w:w="1908" w:type="dxa"/>
            <w:noWrap w:val="0"/>
            <w:vAlign w:val="top"/>
          </w:tcPr>
          <w:p w14:paraId="51F2A16F">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sz w:val="24"/>
                <w:szCs w:val="24"/>
                <w:lang w:val="en-US" w:eastAsia="zh-CN"/>
              </w:rPr>
            </w:pPr>
          </w:p>
        </w:tc>
      </w:tr>
      <w:tr w14:paraId="6C5CA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14:paraId="39B5E4F8">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污泥</w:t>
            </w:r>
            <w:r>
              <w:rPr>
                <w:rStyle w:val="8"/>
                <w:rFonts w:hint="eastAsia" w:ascii="宋体" w:hAnsi="宋体" w:eastAsia="宋体" w:cs="宋体"/>
                <w:kern w:val="2"/>
                <w:sz w:val="24"/>
                <w:szCs w:val="24"/>
                <w:lang w:val="en-US" w:eastAsia="zh-CN" w:bidi="ar-SA"/>
              </w:rPr>
              <w:t>粪大肠菌群菌值</w:t>
            </w:r>
          </w:p>
        </w:tc>
        <w:tc>
          <w:tcPr>
            <w:tcW w:w="2868" w:type="dxa"/>
            <w:noWrap w:val="0"/>
            <w:vAlign w:val="top"/>
          </w:tcPr>
          <w:p w14:paraId="1A9BDA18">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i w:val="0"/>
                <w:caps w:val="0"/>
                <w:color w:val="000000"/>
                <w:spacing w:val="0"/>
                <w:sz w:val="24"/>
                <w:szCs w:val="24"/>
                <w:lang w:eastAsia="zh-CN"/>
              </w:rPr>
            </w:pPr>
            <w:r>
              <w:rPr>
                <w:rStyle w:val="8"/>
                <w:rFonts w:hint="eastAsia" w:ascii="宋体" w:hAnsi="宋体" w:eastAsia="宋体" w:cs="宋体"/>
                <w:kern w:val="2"/>
                <w:sz w:val="24"/>
                <w:szCs w:val="24"/>
                <w:lang w:val="en-US" w:eastAsia="zh-CN" w:bidi="ar-SA"/>
              </w:rPr>
              <w:t>《粪便无害化卫生要求（附录D 堆肥、粪稀中粪大肠菌群检测法）》GB 7959-2012</w:t>
            </w:r>
          </w:p>
        </w:tc>
        <w:tc>
          <w:tcPr>
            <w:tcW w:w="3080" w:type="dxa"/>
            <w:noWrap w:val="0"/>
            <w:vAlign w:val="top"/>
          </w:tcPr>
          <w:p w14:paraId="10AE3D5A">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color w:val="000000"/>
                <w:sz w:val="24"/>
                <w:szCs w:val="24"/>
                <w:lang w:val="en-US" w:eastAsia="zh-CN"/>
              </w:rPr>
            </w:pPr>
          </w:p>
        </w:tc>
        <w:tc>
          <w:tcPr>
            <w:tcW w:w="1908" w:type="dxa"/>
            <w:noWrap w:val="0"/>
            <w:vAlign w:val="top"/>
          </w:tcPr>
          <w:p w14:paraId="6F1E58DA">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sz w:val="24"/>
                <w:szCs w:val="24"/>
                <w:lang w:val="en-US" w:eastAsia="zh-CN"/>
              </w:rPr>
            </w:pPr>
          </w:p>
        </w:tc>
      </w:tr>
      <w:tr w14:paraId="2EC00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14:paraId="135EE34B">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color w:val="000000"/>
                <w:sz w:val="24"/>
                <w:szCs w:val="24"/>
                <w:lang w:val="en-US" w:eastAsia="zh-CN"/>
              </w:rPr>
            </w:pPr>
            <w:r>
              <w:rPr>
                <w:rStyle w:val="8"/>
                <w:rFonts w:ascii="宋体" w:hAnsi="宋体" w:eastAsia="宋体" w:cs="Times New Roman"/>
                <w:color w:val="000000"/>
                <w:kern w:val="2"/>
                <w:sz w:val="24"/>
                <w:szCs w:val="24"/>
                <w:lang w:val="en-US" w:eastAsia="zh-CN" w:bidi="ar-SA"/>
              </w:rPr>
              <w:t>化学需氧量</w:t>
            </w:r>
          </w:p>
        </w:tc>
        <w:tc>
          <w:tcPr>
            <w:tcW w:w="2868" w:type="dxa"/>
            <w:noWrap w:val="0"/>
            <w:vAlign w:val="top"/>
          </w:tcPr>
          <w:p w14:paraId="67C76380">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i w:val="0"/>
                <w:caps w:val="0"/>
                <w:color w:val="000000"/>
                <w:spacing w:val="0"/>
                <w:sz w:val="24"/>
                <w:szCs w:val="24"/>
                <w:highlight w:val="none"/>
                <w:lang w:eastAsia="zh-CN"/>
              </w:rPr>
            </w:pPr>
            <w:r>
              <w:rPr>
                <w:rFonts w:hint="eastAsia" w:ascii="宋体" w:hAnsi="宋体" w:eastAsia="宋体" w:cs="宋体"/>
              </w:rPr>
              <w:t>《</w:t>
            </w:r>
            <w:r>
              <w:rPr>
                <w:rFonts w:hint="eastAsia" w:ascii="宋体" w:hAnsi="宋体" w:eastAsia="宋体" w:cs="宋体"/>
                <w:kern w:val="0"/>
              </w:rPr>
              <w:t>水质化学需氧量的测定重铬酸盐法</w:t>
            </w:r>
            <w:r>
              <w:rPr>
                <w:rFonts w:hint="eastAsia" w:ascii="宋体" w:hAnsi="宋体" w:eastAsia="宋体" w:cs="宋体"/>
              </w:rPr>
              <w:t>》</w:t>
            </w:r>
            <w:r>
              <w:rPr>
                <w:rFonts w:hint="eastAsia" w:ascii="宋体" w:hAnsi="宋体" w:eastAsia="宋体" w:cs="宋体"/>
                <w:kern w:val="0"/>
              </w:rPr>
              <w:t>HJ 828-2017</w:t>
            </w:r>
          </w:p>
        </w:tc>
        <w:tc>
          <w:tcPr>
            <w:tcW w:w="3080" w:type="dxa"/>
            <w:noWrap w:val="0"/>
            <w:vAlign w:val="top"/>
          </w:tcPr>
          <w:p w14:paraId="242E63CC">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color w:val="000000"/>
                <w:sz w:val="24"/>
                <w:szCs w:val="24"/>
                <w:lang w:val="en-US" w:eastAsia="zh-CN"/>
              </w:rPr>
            </w:pPr>
            <w:r>
              <w:rPr>
                <w:rFonts w:hint="eastAsia" w:ascii="宋体" w:hAnsi="宋体" w:eastAsia="宋体" w:cs="宋体"/>
              </w:rPr>
              <w:t>滴定管</w:t>
            </w:r>
          </w:p>
        </w:tc>
        <w:tc>
          <w:tcPr>
            <w:tcW w:w="1908" w:type="dxa"/>
            <w:noWrap w:val="0"/>
            <w:vAlign w:val="top"/>
          </w:tcPr>
          <w:p w14:paraId="3A80ADF6">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4mg/L</w:t>
            </w:r>
          </w:p>
        </w:tc>
      </w:tr>
      <w:tr w14:paraId="41887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14:paraId="6363FEE2">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color w:val="000000"/>
                <w:sz w:val="24"/>
                <w:szCs w:val="24"/>
                <w:lang w:val="en-US" w:eastAsia="zh-CN"/>
              </w:rPr>
            </w:pPr>
            <w:r>
              <w:rPr>
                <w:rStyle w:val="8"/>
                <w:rFonts w:ascii="宋体" w:hAnsi="宋体" w:eastAsia="宋体" w:cs="Times New Roman"/>
                <w:color w:val="000000"/>
                <w:kern w:val="2"/>
                <w:sz w:val="24"/>
                <w:szCs w:val="24"/>
                <w:lang w:val="en-US" w:eastAsia="zh-CN" w:bidi="ar-SA"/>
              </w:rPr>
              <w:t>氨氮（NH3-N）</w:t>
            </w:r>
          </w:p>
        </w:tc>
        <w:tc>
          <w:tcPr>
            <w:tcW w:w="2868" w:type="dxa"/>
            <w:noWrap w:val="0"/>
            <w:vAlign w:val="top"/>
          </w:tcPr>
          <w:p w14:paraId="1926A366">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i w:val="0"/>
                <w:caps w:val="0"/>
                <w:color w:val="000000"/>
                <w:spacing w:val="0"/>
                <w:sz w:val="24"/>
                <w:szCs w:val="24"/>
                <w:highlight w:val="none"/>
                <w:lang w:eastAsia="zh-CN"/>
              </w:rPr>
            </w:pPr>
            <w:r>
              <w:rPr>
                <w:rFonts w:hint="eastAsia" w:ascii="宋体" w:hAnsi="宋体" w:eastAsia="宋体" w:cs="宋体"/>
                <w:color w:val="000000"/>
                <w:kern w:val="2"/>
              </w:rPr>
              <w:t>《水质 氨氮的测定 纳氏试剂分光光度法》HJ 535-2009</w:t>
            </w:r>
          </w:p>
        </w:tc>
        <w:tc>
          <w:tcPr>
            <w:tcW w:w="3080" w:type="dxa"/>
            <w:noWrap w:val="0"/>
            <w:vAlign w:val="top"/>
          </w:tcPr>
          <w:p w14:paraId="0DB51FEA">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color w:val="000000"/>
                <w:sz w:val="24"/>
                <w:szCs w:val="24"/>
                <w:lang w:val="en-US" w:eastAsia="zh-CN"/>
              </w:rPr>
            </w:pPr>
            <w:r>
              <w:rPr>
                <w:rFonts w:hint="eastAsia" w:ascii="宋体" w:hAnsi="宋体" w:eastAsia="宋体" w:cs="宋体"/>
                <w:szCs w:val="21"/>
              </w:rPr>
              <w:t>紫外可见分光光度计</w:t>
            </w:r>
          </w:p>
        </w:tc>
        <w:tc>
          <w:tcPr>
            <w:tcW w:w="1908" w:type="dxa"/>
            <w:noWrap w:val="0"/>
            <w:vAlign w:val="top"/>
          </w:tcPr>
          <w:p w14:paraId="79526C21">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0.025mg/L</w:t>
            </w:r>
          </w:p>
        </w:tc>
      </w:tr>
      <w:tr w14:paraId="56573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14:paraId="715CA9BD">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Style w:val="8"/>
                <w:rFonts w:ascii="宋体" w:hAnsi="宋体" w:eastAsia="宋体" w:cs="Times New Roman"/>
                <w:color w:val="000000"/>
                <w:kern w:val="2"/>
                <w:sz w:val="24"/>
                <w:szCs w:val="24"/>
                <w:lang w:val="en-US" w:eastAsia="zh-CN" w:bidi="ar-SA"/>
              </w:rPr>
            </w:pPr>
            <w:r>
              <w:rPr>
                <w:rStyle w:val="8"/>
                <w:rFonts w:ascii="宋体" w:hAnsi="宋体" w:eastAsia="宋体" w:cs="Times New Roman"/>
                <w:color w:val="000000"/>
                <w:kern w:val="2"/>
                <w:sz w:val="21"/>
                <w:lang w:val="en-US" w:eastAsia="zh-CN" w:bidi="ar-SA"/>
              </w:rPr>
              <w:t>总氮（以N计）</w:t>
            </w:r>
          </w:p>
        </w:tc>
        <w:tc>
          <w:tcPr>
            <w:tcW w:w="2868" w:type="dxa"/>
            <w:noWrap w:val="0"/>
            <w:vAlign w:val="top"/>
          </w:tcPr>
          <w:p w14:paraId="159DA4E0">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color w:val="000000"/>
                <w:kern w:val="2"/>
                <w:sz w:val="24"/>
                <w:szCs w:val="32"/>
                <w:highlight w:val="none"/>
              </w:rPr>
            </w:pPr>
            <w:r>
              <w:rPr>
                <w:rFonts w:hint="eastAsia" w:ascii="宋体" w:hAnsi="宋体" w:eastAsia="宋体" w:cs="宋体"/>
                <w:color w:val="000000"/>
                <w:kern w:val="2"/>
              </w:rPr>
              <w:t>《水质 总氮的测定 碱性过硫酸钾消解紫外分光光度法》HJ 636-2012</w:t>
            </w:r>
          </w:p>
        </w:tc>
        <w:tc>
          <w:tcPr>
            <w:tcW w:w="3080" w:type="dxa"/>
            <w:noWrap w:val="0"/>
            <w:vAlign w:val="top"/>
          </w:tcPr>
          <w:p w14:paraId="01C7821F">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szCs w:val="21"/>
              </w:rPr>
            </w:pPr>
            <w:r>
              <w:rPr>
                <w:rFonts w:hint="eastAsia" w:ascii="宋体" w:hAnsi="宋体" w:eastAsia="宋体" w:cs="宋体"/>
                <w:szCs w:val="21"/>
              </w:rPr>
              <w:t>紫外可见分光光度计</w:t>
            </w:r>
          </w:p>
        </w:tc>
        <w:tc>
          <w:tcPr>
            <w:tcW w:w="1908" w:type="dxa"/>
            <w:noWrap w:val="0"/>
            <w:vAlign w:val="top"/>
          </w:tcPr>
          <w:p w14:paraId="264F90FC">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0.05mg/L</w:t>
            </w:r>
          </w:p>
        </w:tc>
      </w:tr>
      <w:tr w14:paraId="3F7F3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14:paraId="43E3F8BD">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Style w:val="8"/>
                <w:rFonts w:ascii="宋体" w:hAnsi="宋体" w:eastAsia="宋体" w:cs="Times New Roman"/>
                <w:color w:val="000000"/>
                <w:kern w:val="2"/>
                <w:sz w:val="24"/>
                <w:szCs w:val="24"/>
                <w:lang w:val="en-US" w:eastAsia="zh-CN" w:bidi="ar-SA"/>
              </w:rPr>
            </w:pPr>
            <w:r>
              <w:rPr>
                <w:rStyle w:val="8"/>
                <w:rFonts w:ascii="宋体" w:hAnsi="宋体" w:eastAsia="宋体" w:cs="Times New Roman"/>
                <w:color w:val="000000"/>
                <w:kern w:val="2"/>
                <w:sz w:val="21"/>
                <w:lang w:val="en-US" w:eastAsia="zh-CN" w:bidi="ar-SA"/>
              </w:rPr>
              <w:t>总磷（以P计）</w:t>
            </w:r>
          </w:p>
        </w:tc>
        <w:tc>
          <w:tcPr>
            <w:tcW w:w="2868" w:type="dxa"/>
            <w:noWrap w:val="0"/>
            <w:vAlign w:val="top"/>
          </w:tcPr>
          <w:p w14:paraId="5467CF6D">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color w:val="000000"/>
                <w:kern w:val="2"/>
                <w:sz w:val="24"/>
                <w:szCs w:val="32"/>
                <w:highlight w:val="none"/>
              </w:rPr>
            </w:pPr>
            <w:r>
              <w:rPr>
                <w:rFonts w:hint="eastAsia" w:ascii="宋体" w:hAnsi="宋体" w:eastAsia="宋体" w:cs="宋体"/>
                <w:color w:val="000000"/>
                <w:kern w:val="2"/>
              </w:rPr>
              <w:t>《水质 总磷的测定 钼酸铵分光光度法》GB 11893-1989</w:t>
            </w:r>
          </w:p>
        </w:tc>
        <w:tc>
          <w:tcPr>
            <w:tcW w:w="3080" w:type="dxa"/>
            <w:noWrap w:val="0"/>
            <w:vAlign w:val="top"/>
          </w:tcPr>
          <w:p w14:paraId="02496BB1">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szCs w:val="21"/>
              </w:rPr>
            </w:pPr>
            <w:r>
              <w:rPr>
                <w:rFonts w:hint="eastAsia" w:ascii="宋体" w:hAnsi="宋体" w:eastAsia="宋体" w:cs="宋体"/>
                <w:szCs w:val="21"/>
              </w:rPr>
              <w:t>紫外可见分光光度计</w:t>
            </w:r>
          </w:p>
        </w:tc>
        <w:tc>
          <w:tcPr>
            <w:tcW w:w="1908" w:type="dxa"/>
            <w:noWrap w:val="0"/>
            <w:vAlign w:val="top"/>
          </w:tcPr>
          <w:p w14:paraId="60C03691">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0.01mg/L</w:t>
            </w:r>
          </w:p>
        </w:tc>
      </w:tr>
    </w:tbl>
    <w:p w14:paraId="5F586EF0">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both"/>
        <w:textAlignment w:val="auto"/>
        <w:outlineLvl w:val="9"/>
        <w:rPr>
          <w:rFonts w:hint="eastAsia" w:ascii="仿宋_GB2312" w:hAnsi="仿宋_GB2312" w:eastAsia="仿宋_GB2312" w:cs="仿宋_GB2312"/>
          <w:sz w:val="32"/>
          <w:szCs w:val="32"/>
          <w:lang w:val="en-US" w:eastAsia="zh-CN"/>
        </w:rPr>
      </w:pPr>
    </w:p>
    <w:p w14:paraId="66F480D4">
      <w:pPr>
        <w:keepNext w:val="0"/>
        <w:keepLines w:val="0"/>
        <w:pageBreakBefore w:val="0"/>
        <w:widowControl w:val="0"/>
        <w:kinsoku/>
        <w:wordWrap/>
        <w:overflowPunct/>
        <w:topLinePunct w:val="0"/>
        <w:autoSpaceDE/>
        <w:autoSpaceDN/>
        <w:bidi w:val="0"/>
        <w:adjustRightInd/>
        <w:snapToGrid/>
        <w:spacing w:before="157" w:beforeLines="50"/>
        <w:textAlignment w:val="auto"/>
        <w:rPr>
          <w:rFonts w:hint="default" w:ascii="Times New Roman" w:hAnsi="Times New Roman" w:cs="Times New Roman"/>
          <w:b/>
          <w:sz w:val="28"/>
          <w:szCs w:val="28"/>
        </w:rPr>
      </w:pPr>
      <w:r>
        <w:rPr>
          <w:rFonts w:hint="eastAsia" w:ascii="仿宋_GB2312" w:hAnsi="仿宋_GB2312" w:eastAsia="仿宋_GB2312" w:cs="仿宋_GB2312"/>
          <w:b/>
          <w:bCs/>
          <w:sz w:val="32"/>
          <w:szCs w:val="32"/>
          <w:lang w:val="en-US" w:eastAsia="zh-CN"/>
        </w:rPr>
        <w:t>六、</w:t>
      </w:r>
      <w:r>
        <w:rPr>
          <w:rFonts w:hint="default" w:ascii="Times New Roman" w:hAnsi="Times New Roman" w:cs="Times New Roman"/>
          <w:b/>
          <w:sz w:val="28"/>
          <w:szCs w:val="28"/>
          <w:lang w:eastAsia="zh-CN"/>
        </w:rPr>
        <w:t>检</w:t>
      </w:r>
      <w:r>
        <w:rPr>
          <w:rFonts w:hint="default" w:ascii="Times New Roman" w:hAnsi="Times New Roman" w:cs="Times New Roman"/>
          <w:b/>
          <w:sz w:val="28"/>
          <w:szCs w:val="28"/>
        </w:rPr>
        <w:t>测质量保证</w:t>
      </w:r>
    </w:p>
    <w:p w14:paraId="1E0AF4D6">
      <w:pPr>
        <w:spacing w:line="520" w:lineRule="exact"/>
        <w:ind w:firstLine="640" w:firstLineChars="200"/>
        <w:rPr>
          <w:rFonts w:hint="eastAsia" w:ascii="宋体" w:hAnsi="宋体" w:eastAsia="宋体" w:cs="宋体"/>
          <w:b/>
          <w:sz w:val="32"/>
          <w:szCs w:val="32"/>
          <w:lang w:eastAsia="zh-CN"/>
        </w:rPr>
      </w:pPr>
      <w:r>
        <w:rPr>
          <w:rFonts w:hint="eastAsia" w:ascii="宋体" w:hAnsi="宋体" w:eastAsia="宋体" w:cs="宋体"/>
          <w:color w:val="000000"/>
          <w:sz w:val="32"/>
          <w:szCs w:val="32"/>
        </w:rPr>
        <w:t>按照《自行监测技术指南  总则》的要求，委托其它有资质的检测机构代其开展自行</w:t>
      </w:r>
      <w:r>
        <w:rPr>
          <w:rFonts w:hint="eastAsia" w:ascii="宋体" w:hAnsi="宋体" w:eastAsia="宋体" w:cs="宋体"/>
          <w:color w:val="000000"/>
          <w:sz w:val="32"/>
          <w:szCs w:val="32"/>
          <w:lang w:eastAsia="zh-CN"/>
        </w:rPr>
        <w:t>检</w:t>
      </w:r>
      <w:r>
        <w:rPr>
          <w:rFonts w:hint="eastAsia" w:ascii="宋体" w:hAnsi="宋体" w:eastAsia="宋体" w:cs="宋体"/>
          <w:color w:val="000000"/>
          <w:sz w:val="32"/>
          <w:szCs w:val="32"/>
        </w:rPr>
        <w:t>测的，排污单位不用建立</w:t>
      </w:r>
      <w:r>
        <w:rPr>
          <w:rFonts w:hint="eastAsia" w:ascii="宋体" w:hAnsi="宋体" w:eastAsia="宋体" w:cs="宋体"/>
          <w:color w:val="000000"/>
          <w:sz w:val="32"/>
          <w:szCs w:val="32"/>
          <w:lang w:eastAsia="zh-CN"/>
        </w:rPr>
        <w:t>检</w:t>
      </w:r>
      <w:r>
        <w:rPr>
          <w:rFonts w:hint="eastAsia" w:ascii="宋体" w:hAnsi="宋体" w:eastAsia="宋体" w:cs="宋体"/>
          <w:color w:val="000000"/>
          <w:sz w:val="32"/>
          <w:szCs w:val="32"/>
        </w:rPr>
        <w:t>测质量体系，但应对检测机构的资质进行确认。我单位自行</w:t>
      </w:r>
      <w:r>
        <w:rPr>
          <w:rFonts w:hint="eastAsia" w:ascii="宋体" w:hAnsi="宋体" w:eastAsia="宋体" w:cs="宋体"/>
          <w:color w:val="000000"/>
          <w:sz w:val="32"/>
          <w:szCs w:val="32"/>
          <w:lang w:eastAsia="zh-CN"/>
        </w:rPr>
        <w:t>检</w:t>
      </w:r>
      <w:r>
        <w:rPr>
          <w:rFonts w:hint="eastAsia" w:ascii="宋体" w:hAnsi="宋体" w:eastAsia="宋体" w:cs="宋体"/>
          <w:color w:val="000000"/>
          <w:sz w:val="32"/>
          <w:szCs w:val="32"/>
        </w:rPr>
        <w:t>测委托第三方检测单位开展，不需建立</w:t>
      </w:r>
      <w:r>
        <w:rPr>
          <w:rFonts w:hint="eastAsia" w:ascii="宋体" w:hAnsi="宋体" w:eastAsia="宋体" w:cs="宋体"/>
          <w:color w:val="000000"/>
          <w:sz w:val="32"/>
          <w:szCs w:val="32"/>
          <w:lang w:eastAsia="zh-CN"/>
        </w:rPr>
        <w:t>检</w:t>
      </w:r>
      <w:r>
        <w:rPr>
          <w:rFonts w:hint="eastAsia" w:ascii="宋体" w:hAnsi="宋体" w:eastAsia="宋体" w:cs="宋体"/>
          <w:color w:val="000000"/>
          <w:sz w:val="32"/>
          <w:szCs w:val="32"/>
        </w:rPr>
        <w:t>测质量保证与质量控制体系，委托</w:t>
      </w:r>
      <w:r>
        <w:rPr>
          <w:rFonts w:hint="eastAsia" w:ascii="宋体" w:hAnsi="宋体" w:eastAsia="宋体" w:cs="宋体"/>
          <w:color w:val="000000"/>
          <w:sz w:val="32"/>
          <w:szCs w:val="32"/>
          <w:lang w:eastAsia="zh-CN"/>
        </w:rPr>
        <w:t>检</w:t>
      </w:r>
      <w:r>
        <w:rPr>
          <w:rFonts w:hint="eastAsia" w:ascii="宋体" w:hAnsi="宋体" w:eastAsia="宋体" w:cs="宋体"/>
          <w:color w:val="000000"/>
          <w:sz w:val="32"/>
          <w:szCs w:val="32"/>
        </w:rPr>
        <w:t>测前将对</w:t>
      </w:r>
      <w:r>
        <w:rPr>
          <w:rFonts w:hint="eastAsia" w:ascii="宋体" w:hAnsi="宋体" w:eastAsia="宋体" w:cs="宋体"/>
          <w:color w:val="000000"/>
          <w:sz w:val="32"/>
          <w:szCs w:val="32"/>
          <w:lang w:eastAsia="zh-CN"/>
        </w:rPr>
        <w:t>检</w:t>
      </w:r>
      <w:r>
        <w:rPr>
          <w:rFonts w:hint="eastAsia" w:ascii="宋体" w:hAnsi="宋体" w:eastAsia="宋体" w:cs="宋体"/>
          <w:color w:val="000000"/>
          <w:sz w:val="32"/>
          <w:szCs w:val="32"/>
        </w:rPr>
        <w:t>测机构的资质进行确认。</w:t>
      </w:r>
    </w:p>
    <w:p w14:paraId="70E46EF9">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240" w:lineRule="auto"/>
        <w:ind w:leftChars="200" w:right="0" w:rightChars="0" w:firstLine="321" w:firstLineChars="1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七、监测点位示意图(附件2)</w:t>
      </w:r>
    </w:p>
    <w:p w14:paraId="2260B978">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240" w:lineRule="auto"/>
        <w:ind w:leftChars="200" w:right="0" w:rightChars="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drawing>
          <wp:inline distT="0" distB="0" distL="114300" distR="114300">
            <wp:extent cx="5944235" cy="5980430"/>
            <wp:effectExtent l="0" t="0" r="18415" b="1270"/>
            <wp:docPr id="14" name="图片 1" descr="二污废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descr="二污废水"/>
                    <pic:cNvPicPr>
                      <a:picLocks noChangeAspect="1"/>
                    </pic:cNvPicPr>
                  </pic:nvPicPr>
                  <pic:blipFill>
                    <a:blip r:embed="rId12"/>
                    <a:stretch>
                      <a:fillRect/>
                    </a:stretch>
                  </pic:blipFill>
                  <pic:spPr>
                    <a:xfrm>
                      <a:off x="0" y="0"/>
                      <a:ext cx="5944235" cy="5980430"/>
                    </a:xfrm>
                    <a:prstGeom prst="rect">
                      <a:avLst/>
                    </a:prstGeom>
                    <a:noFill/>
                    <a:ln>
                      <a:noFill/>
                    </a:ln>
                  </pic:spPr>
                </pic:pic>
              </a:graphicData>
            </a:graphic>
          </wp:inline>
        </w:drawing>
      </w:r>
    </w:p>
    <w:p w14:paraId="61905AD8">
      <w:pPr>
        <w:pStyle w:val="2"/>
        <w:rPr>
          <w:rFonts w:hint="eastAsia"/>
          <w:lang w:val="en-US" w:eastAsia="zh-CN"/>
        </w:rPr>
      </w:pPr>
      <w:r>
        <w:rPr>
          <w:rFonts w:hint="eastAsia"/>
          <w:lang w:val="en-US" w:eastAsia="zh-CN"/>
        </w:rPr>
        <w:drawing>
          <wp:inline distT="0" distB="0" distL="114300" distR="114300">
            <wp:extent cx="6200140" cy="6236970"/>
            <wp:effectExtent l="0" t="0" r="10160" b="11430"/>
            <wp:docPr id="16" name="图片 2" descr="二污废气监测点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 descr="二污废气监测点位"/>
                    <pic:cNvPicPr>
                      <a:picLocks noChangeAspect="1"/>
                    </pic:cNvPicPr>
                  </pic:nvPicPr>
                  <pic:blipFill>
                    <a:blip r:embed="rId13"/>
                    <a:stretch>
                      <a:fillRect/>
                    </a:stretch>
                  </pic:blipFill>
                  <pic:spPr>
                    <a:xfrm>
                      <a:off x="0" y="0"/>
                      <a:ext cx="6200140" cy="6236970"/>
                    </a:xfrm>
                    <a:prstGeom prst="rect">
                      <a:avLst/>
                    </a:prstGeom>
                    <a:noFill/>
                    <a:ln>
                      <a:noFill/>
                    </a:ln>
                  </pic:spPr>
                </pic:pic>
              </a:graphicData>
            </a:graphic>
          </wp:inline>
        </w:drawing>
      </w:r>
    </w:p>
    <w:p w14:paraId="2C2BEE32">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both"/>
        <w:textAlignment w:val="auto"/>
        <w:outlineLvl w:val="9"/>
        <w:rPr>
          <w:rFonts w:hint="eastAsia" w:ascii="仿宋_GB2312" w:hAnsi="仿宋_GB2312" w:eastAsia="仿宋_GB2312" w:cs="仿宋_GB2312"/>
          <w:sz w:val="32"/>
          <w:szCs w:val="32"/>
          <w:lang w:val="en-US" w:eastAsia="zh-CN"/>
        </w:rPr>
      </w:pPr>
    </w:p>
    <w:p w14:paraId="1D3B5615">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both"/>
        <w:textAlignment w:val="auto"/>
        <w:outlineLvl w:val="9"/>
        <w:rPr>
          <w:rFonts w:hint="eastAsia" w:ascii="仿宋_GB2312" w:hAnsi="仿宋_GB2312" w:eastAsia="仿宋_GB2312" w:cs="仿宋_GB2312"/>
          <w:sz w:val="32"/>
          <w:szCs w:val="32"/>
          <w:lang w:val="en-US" w:eastAsia="zh-CN"/>
        </w:rPr>
      </w:pPr>
    </w:p>
    <w:p w14:paraId="5883044D">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both"/>
        <w:textAlignment w:val="auto"/>
        <w:outlineLvl w:val="9"/>
        <w:rPr>
          <w:rFonts w:hint="eastAsia" w:ascii="仿宋_GB2312" w:hAnsi="仿宋_GB2312" w:eastAsia="仿宋_GB2312" w:cs="仿宋_GB2312"/>
          <w:sz w:val="32"/>
          <w:szCs w:val="32"/>
          <w:lang w:val="en-US" w:eastAsia="zh-CN"/>
        </w:rPr>
      </w:pPr>
    </w:p>
    <w:p w14:paraId="67B75F0D">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both"/>
        <w:textAlignment w:val="auto"/>
        <w:outlineLvl w:val="9"/>
        <w:rPr>
          <w:rFonts w:hint="eastAsia" w:ascii="仿宋_GB2312" w:hAnsi="仿宋_GB2312" w:eastAsia="仿宋_GB2312" w:cs="仿宋_GB2312"/>
          <w:sz w:val="32"/>
          <w:szCs w:val="32"/>
          <w:lang w:val="en-US" w:eastAsia="zh-CN"/>
        </w:rPr>
      </w:pPr>
    </w:p>
    <w:p w14:paraId="270956AD">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both"/>
        <w:textAlignment w:val="auto"/>
        <w:outlineLvl w:val="9"/>
        <w:rPr>
          <w:rFonts w:hint="eastAsia" w:ascii="仿宋_GB2312" w:hAnsi="仿宋_GB2312" w:eastAsia="仿宋_GB2312" w:cs="仿宋_GB2312"/>
          <w:sz w:val="32"/>
          <w:szCs w:val="32"/>
          <w:lang w:val="en-US" w:eastAsia="zh-CN"/>
        </w:rPr>
      </w:pPr>
    </w:p>
    <w:p w14:paraId="194C4CC9">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both"/>
        <w:textAlignment w:val="auto"/>
        <w:outlineLvl w:val="9"/>
        <w:rPr>
          <w:rFonts w:hint="eastAsia" w:ascii="仿宋_GB2312" w:hAnsi="仿宋_GB2312" w:eastAsia="仿宋_GB2312" w:cs="仿宋_GB2312"/>
          <w:sz w:val="32"/>
          <w:szCs w:val="32"/>
          <w:lang w:val="en-US" w:eastAsia="zh-CN"/>
        </w:rPr>
      </w:pPr>
    </w:p>
    <w:p w14:paraId="0B95C43C">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drawing>
          <wp:inline distT="0" distB="0" distL="114300" distR="114300">
            <wp:extent cx="5246370" cy="6995160"/>
            <wp:effectExtent l="0" t="0" r="11430" b="15240"/>
            <wp:docPr id="15" name="图片 3" descr="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 descr="111"/>
                    <pic:cNvPicPr>
                      <a:picLocks noChangeAspect="1"/>
                    </pic:cNvPicPr>
                  </pic:nvPicPr>
                  <pic:blipFill>
                    <a:blip r:embed="rId14"/>
                    <a:stretch>
                      <a:fillRect/>
                    </a:stretch>
                  </pic:blipFill>
                  <pic:spPr>
                    <a:xfrm>
                      <a:off x="0" y="0"/>
                      <a:ext cx="5246370" cy="6995160"/>
                    </a:xfrm>
                    <a:prstGeom prst="rect">
                      <a:avLst/>
                    </a:prstGeom>
                    <a:noFill/>
                    <a:ln>
                      <a:noFill/>
                    </a:ln>
                  </pic:spPr>
                </pic:pic>
              </a:graphicData>
            </a:graphic>
          </wp:inline>
        </w:drawing>
      </w:r>
    </w:p>
    <w:p w14:paraId="1BC5FB4A">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both"/>
        <w:textAlignment w:val="auto"/>
        <w:outlineLvl w:val="9"/>
        <w:rPr>
          <w:rFonts w:hint="eastAsia" w:ascii="仿宋_GB2312" w:hAnsi="仿宋_GB2312" w:eastAsia="仿宋_GB2312" w:cs="仿宋_GB2312"/>
          <w:sz w:val="32"/>
          <w:szCs w:val="32"/>
          <w:lang w:val="en-US" w:eastAsia="zh-CN"/>
        </w:rPr>
      </w:pPr>
    </w:p>
    <w:p w14:paraId="354ED5F5">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right"/>
        <w:textAlignment w:val="auto"/>
        <w:outlineLvl w:val="9"/>
        <w:rPr>
          <w:rFonts w:hint="eastAsia" w:ascii="仿宋_GB2312" w:hAnsi="仿宋_GB2312" w:eastAsia="仿宋_GB2312" w:cs="仿宋_GB2312"/>
          <w:sz w:val="32"/>
          <w:szCs w:val="32"/>
          <w:lang w:val="en-US" w:eastAsia="zh-CN"/>
        </w:rPr>
      </w:pPr>
    </w:p>
    <w:p w14:paraId="12249FC7">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right"/>
        <w:textAlignment w:val="auto"/>
        <w:outlineLvl w:val="9"/>
        <w:rPr>
          <w:rFonts w:hint="eastAsia" w:ascii="仿宋_GB2312" w:hAnsi="仿宋_GB2312" w:eastAsia="仿宋_GB2312" w:cs="仿宋_GB2312"/>
          <w:sz w:val="32"/>
          <w:szCs w:val="32"/>
          <w:lang w:val="en-US" w:eastAsia="zh-CN"/>
        </w:rPr>
      </w:pPr>
    </w:p>
    <w:p w14:paraId="0A287D74">
      <w:pPr>
        <w:rPr>
          <w:rFonts w:hint="eastAsia" w:ascii="仿宋" w:hAnsi="仿宋" w:eastAsia="仿宋" w:cs="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01F8E1"/>
    <w:multiLevelType w:val="singleLevel"/>
    <w:tmpl w:val="0901F8E1"/>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FlOGNmZGRmZGZiMmRiNGZkMjg2YWVmZTVlMTAzN2MifQ=="/>
  </w:docVars>
  <w:rsids>
    <w:rsidRoot w:val="15F25D46"/>
    <w:rsid w:val="063779FD"/>
    <w:rsid w:val="06B6492B"/>
    <w:rsid w:val="09CC4C1C"/>
    <w:rsid w:val="0B286AA6"/>
    <w:rsid w:val="0F7D7D19"/>
    <w:rsid w:val="15F25D46"/>
    <w:rsid w:val="213276BA"/>
    <w:rsid w:val="21D051EB"/>
    <w:rsid w:val="2EA938DB"/>
    <w:rsid w:val="41F861D9"/>
    <w:rsid w:val="47F11B23"/>
    <w:rsid w:val="55462FCB"/>
    <w:rsid w:val="55A03643"/>
    <w:rsid w:val="5D014A08"/>
    <w:rsid w:val="60B82249"/>
    <w:rsid w:val="62734D40"/>
    <w:rsid w:val="6CBD325C"/>
    <w:rsid w:val="6D207039"/>
    <w:rsid w:val="6DF74A77"/>
    <w:rsid w:val="718A31A2"/>
    <w:rsid w:val="754247CC"/>
    <w:rsid w:val="794A2D1E"/>
    <w:rsid w:val="7CEE7F3B"/>
    <w:rsid w:val="7D246C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3"/>
    <w:unhideWhenUsed/>
    <w:qFormat/>
    <w:uiPriority w:val="0"/>
    <w:pPr>
      <w:keepNext/>
      <w:keepLines/>
      <w:spacing w:before="280" w:after="290" w:line="372" w:lineRule="auto"/>
      <w:outlineLvl w:val="3"/>
    </w:pPr>
    <w:rPr>
      <w:rFonts w:ascii="Arial" w:hAnsi="Arial" w:eastAsia="黑体"/>
      <w:b/>
      <w:sz w:val="28"/>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Normal Indent"/>
    <w:basedOn w:val="1"/>
    <w:next w:val="1"/>
    <w:qFormat/>
    <w:uiPriority w:val="0"/>
    <w:pPr>
      <w:jc w:val="center"/>
    </w:pPr>
    <w:rPr>
      <w:szCs w:val="20"/>
    </w:rPr>
  </w:style>
  <w:style w:type="paragraph" w:styleId="4">
    <w:name w:val="Block Text"/>
    <w:basedOn w:val="1"/>
    <w:next w:val="1"/>
    <w:unhideWhenUsed/>
    <w:qFormat/>
    <w:uiPriority w:val="0"/>
    <w:pPr>
      <w:snapToGrid w:val="0"/>
      <w:spacing w:line="408" w:lineRule="auto"/>
      <w:ind w:left="-113" w:right="-510" w:firstLine="510"/>
    </w:pPr>
    <w:rPr>
      <w:sz w:val="24"/>
      <w:szCs w:val="20"/>
    </w:rPr>
  </w:style>
  <w:style w:type="paragraph" w:styleId="5">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p0"/>
    <w:basedOn w:val="1"/>
    <w:qFormat/>
    <w:uiPriority w:val="0"/>
    <w:pPr>
      <w:jc w:val="both"/>
    </w:pPr>
    <w:rPr>
      <w:sz w:val="21"/>
      <w:szCs w:val="21"/>
    </w:rPr>
  </w:style>
  <w:style w:type="paragraph" w:customStyle="1" w:styleId="10">
    <w:name w:val="表格"/>
    <w:basedOn w:val="1"/>
    <w:qFormat/>
    <w:uiPriority w:val="0"/>
    <w:pPr>
      <w:keepNext/>
      <w:adjustRightInd w:val="0"/>
      <w:spacing w:line="360" w:lineRule="auto"/>
      <w:jc w:val="center"/>
      <w:textAlignment w:val="baseline"/>
    </w:pPr>
    <w:rPr>
      <w:kern w:val="0"/>
      <w:sz w:val="24"/>
      <w:szCs w:val="20"/>
    </w:rPr>
  </w:style>
  <w:style w:type="paragraph" w:customStyle="1" w:styleId="11">
    <w:name w:val="表中文字1"/>
    <w:qFormat/>
    <w:uiPriority w:val="0"/>
    <w:pPr>
      <w:widowControl w:val="0"/>
      <w:adjustRightInd w:val="0"/>
      <w:snapToGrid w:val="0"/>
      <w:jc w:val="center"/>
    </w:pPr>
    <w:rPr>
      <w:rFonts w:ascii="Times New Roman" w:hAnsi="Times New Roman" w:eastAsia="宋体" w:cs="Times New Roman"/>
      <w:color w:val="000000"/>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23</Pages>
  <Words>3902</Words>
  <Characters>4869</Characters>
  <Lines>0</Lines>
  <Paragraphs>0</Paragraphs>
  <TotalTime>4</TotalTime>
  <ScaleCrop>false</ScaleCrop>
  <LinksUpToDate>false</LinksUpToDate>
  <CharactersWithSpaces>4986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2020-09-21T03:02:00Z</dcterms:created>
  <dc:creator>安好</dc:creator>
  <cp:lastModifiedBy>安好</cp:lastModifiedBy>
  <dcterms:modified xsi:type="dcterms:W3CDTF">2025-01-26T02:16:53Z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4159A51025B940169E204C8D31A19899</vt:lpwstr>
  </property>
  <property fmtid="{D5CDD505-2E9C-101B-9397-08002B2CF9AE}" pid="4" name="KSOTemplateDocerSaveRecord">
    <vt:lpwstr>eyJoZGlkIjoiN2FlOGNmZGRmZGZiMmRiNGZkMjg2YWVmZTVlMTAzN2MiLCJ1c2VySWQiOiI0MjE4NTg0NjYifQ==</vt:lpwstr>
  </property>
</Properties>
</file>